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950" w:type="dxa"/>
        <w:tblCellSpacing w:w="0" w:type="dxa"/>
        <w:tblInd w:w="0" w:type="dxa"/>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950"/>
      </w:tblGrid>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blCellSpacing w:w="0" w:type="dxa"/>
        </w:trPr>
        <w:tc>
          <w:tcPr>
            <w:tcW w:w="13950" w:type="dxa"/>
            <w:shd w:val="clear" w:color="auto" w:fill="FFFFFF"/>
            <w:vAlign w:val="center"/>
          </w:tcPr>
          <w:tbl>
            <w:tblPr>
              <w:tblStyle w:val="4"/>
              <w:tblW w:w="8334" w:type="dxa"/>
              <w:tblCellSpacing w:w="0" w:type="dxa"/>
              <w:tblInd w:w="0" w:type="dxa"/>
              <w:tblLayout w:type="fixed"/>
              <w:tblCellMar>
                <w:top w:w="0" w:type="dxa"/>
                <w:left w:w="0" w:type="dxa"/>
                <w:bottom w:w="0" w:type="dxa"/>
                <w:right w:w="0" w:type="dxa"/>
              </w:tblCellMar>
            </w:tblPr>
            <w:tblGrid>
              <w:gridCol w:w="1050"/>
              <w:gridCol w:w="4023"/>
              <w:gridCol w:w="1050"/>
              <w:gridCol w:w="2211"/>
            </w:tblGrid>
            <w:tr>
              <w:tblPrEx>
                <w:tblLayout w:type="fixed"/>
              </w:tblPrEx>
              <w:trPr>
                <w:tblCellSpacing w:w="0" w:type="dxa"/>
              </w:trPr>
              <w:tc>
                <w:tcPr>
                  <w:tcW w:w="1050"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b/>
                      <w:bCs/>
                      <w:kern w:val="0"/>
                      <w:sz w:val="18"/>
                      <w:szCs w:val="18"/>
                    </w:rPr>
                    <w:t>索 引 号：</w:t>
                  </w:r>
                </w:p>
              </w:tc>
              <w:tc>
                <w:tcPr>
                  <w:tcW w:w="4023"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kern w:val="0"/>
                      <w:sz w:val="18"/>
                      <w:szCs w:val="18"/>
                    </w:rPr>
                    <w:t>000014349/2018-00056</w:t>
                  </w:r>
                </w:p>
              </w:tc>
              <w:tc>
                <w:tcPr>
                  <w:tcW w:w="1050"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b/>
                      <w:bCs/>
                      <w:kern w:val="0"/>
                      <w:sz w:val="18"/>
                      <w:szCs w:val="18"/>
                    </w:rPr>
                    <w:t>主题分类：</w:t>
                  </w:r>
                </w:p>
              </w:tc>
              <w:tc>
                <w:tcPr>
                  <w:tcW w:w="2211"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kern w:val="0"/>
                      <w:sz w:val="18"/>
                      <w:szCs w:val="18"/>
                    </w:rPr>
                    <w:t>财政、金融、审计\银行</w:t>
                  </w:r>
                </w:p>
              </w:tc>
            </w:tr>
            <w:tr>
              <w:tblPrEx>
                <w:tblLayout w:type="fixed"/>
                <w:tblCellMar>
                  <w:top w:w="0" w:type="dxa"/>
                  <w:left w:w="0" w:type="dxa"/>
                  <w:bottom w:w="0" w:type="dxa"/>
                  <w:right w:w="0" w:type="dxa"/>
                </w:tblCellMar>
              </w:tblPrEx>
              <w:trPr>
                <w:tblCellSpacing w:w="0" w:type="dxa"/>
              </w:trPr>
              <w:tc>
                <w:tcPr>
                  <w:tcW w:w="1050"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b/>
                      <w:bCs/>
                      <w:kern w:val="0"/>
                      <w:sz w:val="18"/>
                      <w:szCs w:val="18"/>
                    </w:rPr>
                    <w:t>发文机关：</w:t>
                  </w:r>
                </w:p>
              </w:tc>
              <w:tc>
                <w:tcPr>
                  <w:tcW w:w="4023"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kern w:val="0"/>
                      <w:sz w:val="18"/>
                      <w:szCs w:val="18"/>
                    </w:rPr>
                    <w:t>国务院办公厅</w:t>
                  </w:r>
                </w:p>
              </w:tc>
              <w:tc>
                <w:tcPr>
                  <w:tcW w:w="1050"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b/>
                      <w:bCs/>
                      <w:kern w:val="0"/>
                      <w:sz w:val="18"/>
                      <w:szCs w:val="18"/>
                    </w:rPr>
                    <w:t>成文日期：</w:t>
                  </w:r>
                </w:p>
              </w:tc>
              <w:tc>
                <w:tcPr>
                  <w:tcW w:w="2211"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kern w:val="0"/>
                      <w:sz w:val="18"/>
                      <w:szCs w:val="18"/>
                    </w:rPr>
                    <w:t>2018年03月18日</w:t>
                  </w:r>
                </w:p>
              </w:tc>
            </w:tr>
            <w:tr>
              <w:tblPrEx>
                <w:tblLayout w:type="fixed"/>
                <w:tblCellMar>
                  <w:top w:w="0" w:type="dxa"/>
                  <w:left w:w="0" w:type="dxa"/>
                  <w:bottom w:w="0" w:type="dxa"/>
                  <w:right w:w="0" w:type="dxa"/>
                </w:tblCellMar>
              </w:tblPrEx>
              <w:trPr>
                <w:tblCellSpacing w:w="0" w:type="dxa"/>
              </w:trPr>
              <w:tc>
                <w:tcPr>
                  <w:tcW w:w="1050"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b/>
                      <w:bCs/>
                      <w:kern w:val="0"/>
                      <w:sz w:val="18"/>
                      <w:szCs w:val="18"/>
                    </w:rPr>
                    <w:t>标　　题：</w:t>
                  </w:r>
                </w:p>
              </w:tc>
              <w:tc>
                <w:tcPr>
                  <w:tcW w:w="7284" w:type="dxa"/>
                  <w:gridSpan w:val="3"/>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kern w:val="0"/>
                      <w:sz w:val="18"/>
                      <w:szCs w:val="18"/>
                    </w:rPr>
                    <w:t>国务院办公厅关于全面推进金融业</w:t>
                  </w:r>
                </w:p>
                <w:p>
                  <w:pPr>
                    <w:widowControl/>
                    <w:spacing w:line="300" w:lineRule="atLeast"/>
                    <w:jc w:val="left"/>
                    <w:rPr>
                      <w:rFonts w:ascii="宋体" w:hAnsi="宋体" w:eastAsia="宋体" w:cs="宋体"/>
                      <w:kern w:val="0"/>
                      <w:sz w:val="18"/>
                      <w:szCs w:val="18"/>
                    </w:rPr>
                  </w:pPr>
                  <w:r>
                    <w:rPr>
                      <w:rFonts w:ascii="宋体" w:hAnsi="宋体" w:eastAsia="宋体" w:cs="宋体"/>
                      <w:kern w:val="0"/>
                      <w:sz w:val="18"/>
                      <w:szCs w:val="18"/>
                    </w:rPr>
                    <w:t>综合统计工作的意见</w:t>
                  </w:r>
                </w:p>
              </w:tc>
            </w:tr>
            <w:tr>
              <w:tblPrEx>
                <w:tblLayout w:type="fixed"/>
                <w:tblCellMar>
                  <w:top w:w="0" w:type="dxa"/>
                  <w:left w:w="0" w:type="dxa"/>
                  <w:bottom w:w="0" w:type="dxa"/>
                  <w:right w:w="0" w:type="dxa"/>
                </w:tblCellMar>
              </w:tblPrEx>
              <w:trPr>
                <w:tblCellSpacing w:w="0" w:type="dxa"/>
              </w:trPr>
              <w:tc>
                <w:tcPr>
                  <w:tcW w:w="1050"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b/>
                      <w:bCs/>
                      <w:kern w:val="0"/>
                      <w:sz w:val="18"/>
                      <w:szCs w:val="18"/>
                    </w:rPr>
                    <w:t>发文字号：</w:t>
                  </w:r>
                </w:p>
              </w:tc>
              <w:tc>
                <w:tcPr>
                  <w:tcW w:w="4023"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kern w:val="0"/>
                      <w:sz w:val="18"/>
                      <w:szCs w:val="18"/>
                    </w:rPr>
                    <w:t>国办发〔2018〕18号</w:t>
                  </w:r>
                </w:p>
              </w:tc>
              <w:tc>
                <w:tcPr>
                  <w:tcW w:w="1050"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b/>
                      <w:bCs/>
                      <w:kern w:val="0"/>
                      <w:sz w:val="18"/>
                      <w:szCs w:val="18"/>
                    </w:rPr>
                    <w:t>发布日期：</w:t>
                  </w:r>
                </w:p>
              </w:tc>
              <w:tc>
                <w:tcPr>
                  <w:tcW w:w="2211"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kern w:val="0"/>
                      <w:sz w:val="18"/>
                      <w:szCs w:val="18"/>
                    </w:rPr>
                    <w:t>2018年04月09日</w:t>
                  </w:r>
                </w:p>
              </w:tc>
            </w:tr>
          </w:tbl>
          <w:p>
            <w:pPr>
              <w:widowControl/>
              <w:jc w:val="left"/>
              <w:rPr>
                <w:rFonts w:ascii="宋体" w:hAnsi="宋体" w:eastAsia="宋体" w:cs="宋体"/>
                <w:vanish/>
                <w:color w:val="333333"/>
                <w:kern w:val="0"/>
                <w:szCs w:val="21"/>
              </w:rPr>
            </w:pPr>
          </w:p>
          <w:tbl>
            <w:tblPr>
              <w:tblStyle w:val="4"/>
              <w:tblW w:w="12900" w:type="dxa"/>
              <w:tblCellSpacing w:w="0" w:type="dxa"/>
              <w:tblInd w:w="0" w:type="dxa"/>
              <w:tblLayout w:type="fixed"/>
              <w:tblCellMar>
                <w:top w:w="0" w:type="dxa"/>
                <w:left w:w="0" w:type="dxa"/>
                <w:bottom w:w="0" w:type="dxa"/>
                <w:right w:w="0" w:type="dxa"/>
              </w:tblCellMar>
            </w:tblPr>
            <w:tblGrid>
              <w:gridCol w:w="1050"/>
              <w:gridCol w:w="5265"/>
              <w:gridCol w:w="1020"/>
              <w:gridCol w:w="5565"/>
            </w:tblGrid>
            <w:tr>
              <w:tblPrEx>
                <w:tblLayout w:type="fixed"/>
                <w:tblCellMar>
                  <w:top w:w="0" w:type="dxa"/>
                  <w:left w:w="0" w:type="dxa"/>
                  <w:bottom w:w="0" w:type="dxa"/>
                  <w:right w:w="0" w:type="dxa"/>
                </w:tblCellMar>
              </w:tblPrEx>
              <w:trPr>
                <w:tblCellSpacing w:w="0" w:type="dxa"/>
              </w:trPr>
              <w:tc>
                <w:tcPr>
                  <w:tcW w:w="1050" w:type="dxa"/>
                  <w:tcMar>
                    <w:top w:w="0" w:type="dxa"/>
                    <w:left w:w="75" w:type="dxa"/>
                    <w:bottom w:w="0" w:type="dxa"/>
                    <w:right w:w="0" w:type="dxa"/>
                  </w:tcMar>
                </w:tcPr>
                <w:p>
                  <w:pPr>
                    <w:widowControl/>
                    <w:spacing w:line="300" w:lineRule="atLeast"/>
                    <w:jc w:val="left"/>
                    <w:rPr>
                      <w:rFonts w:ascii="宋体" w:hAnsi="宋体" w:eastAsia="宋体" w:cs="宋体"/>
                      <w:kern w:val="0"/>
                      <w:sz w:val="18"/>
                      <w:szCs w:val="18"/>
                    </w:rPr>
                  </w:pPr>
                  <w:r>
                    <w:rPr>
                      <w:rFonts w:ascii="宋体" w:hAnsi="宋体" w:eastAsia="宋体" w:cs="宋体"/>
                      <w:b/>
                      <w:bCs/>
                      <w:kern w:val="0"/>
                      <w:sz w:val="18"/>
                      <w:szCs w:val="18"/>
                    </w:rPr>
                    <w:t>主 题 词：</w:t>
                  </w:r>
                </w:p>
              </w:tc>
              <w:tc>
                <w:tcPr>
                  <w:tcW w:w="5265" w:type="dxa"/>
                  <w:tcMar>
                    <w:top w:w="0" w:type="dxa"/>
                    <w:left w:w="75" w:type="dxa"/>
                    <w:bottom w:w="0" w:type="dxa"/>
                    <w:right w:w="0" w:type="dxa"/>
                  </w:tcMar>
                </w:tcPr>
                <w:p>
                  <w:pPr>
                    <w:widowControl/>
                    <w:spacing w:line="300" w:lineRule="atLeast"/>
                    <w:jc w:val="left"/>
                    <w:rPr>
                      <w:rFonts w:ascii="宋体" w:hAnsi="宋体" w:eastAsia="宋体" w:cs="宋体"/>
                      <w:kern w:val="0"/>
                      <w:sz w:val="18"/>
                      <w:szCs w:val="18"/>
                    </w:rPr>
                  </w:pPr>
                </w:p>
              </w:tc>
              <w:tc>
                <w:tcPr>
                  <w:tcW w:w="1020" w:type="dxa"/>
                  <w:tcMar>
                    <w:top w:w="0" w:type="dxa"/>
                    <w:left w:w="75" w:type="dxa"/>
                    <w:bottom w:w="0" w:type="dxa"/>
                    <w:right w:w="0" w:type="dxa"/>
                  </w:tcMar>
                </w:tcPr>
                <w:p>
                  <w:pPr>
                    <w:widowControl/>
                    <w:spacing w:line="300" w:lineRule="atLeast"/>
                    <w:jc w:val="left"/>
                    <w:rPr>
                      <w:rFonts w:ascii="Times New Roman" w:hAnsi="Times New Roman" w:eastAsia="Times New Roman" w:cs="Times New Roman"/>
                      <w:kern w:val="0"/>
                      <w:sz w:val="20"/>
                      <w:szCs w:val="20"/>
                    </w:rPr>
                  </w:pPr>
                </w:p>
              </w:tc>
              <w:tc>
                <w:tcPr>
                  <w:tcW w:w="5565" w:type="dxa"/>
                  <w:tcMar>
                    <w:top w:w="0" w:type="dxa"/>
                    <w:left w:w="75" w:type="dxa"/>
                    <w:bottom w:w="0" w:type="dxa"/>
                    <w:right w:w="0" w:type="dxa"/>
                  </w:tcMar>
                </w:tcPr>
                <w:p>
                  <w:pPr>
                    <w:widowControl/>
                    <w:spacing w:line="300" w:lineRule="atLeast"/>
                    <w:jc w:val="left"/>
                    <w:rPr>
                      <w:rFonts w:ascii="Times New Roman" w:hAnsi="Times New Roman" w:eastAsia="Times New Roman" w:cs="Times New Roman"/>
                      <w:kern w:val="0"/>
                      <w:sz w:val="20"/>
                      <w:szCs w:val="20"/>
                    </w:rPr>
                  </w:pPr>
                </w:p>
              </w:tc>
            </w:tr>
          </w:tbl>
          <w:p>
            <w:pPr>
              <w:widowControl/>
              <w:jc w:val="left"/>
              <w:rPr>
                <w:rFonts w:ascii="宋体" w:hAnsi="宋体" w:eastAsia="宋体" w:cs="宋体"/>
                <w:color w:val="333333"/>
                <w:kern w:val="0"/>
                <w:szCs w:val="21"/>
              </w:rPr>
            </w:pPr>
          </w:p>
        </w:tc>
      </w:tr>
    </w:tbl>
    <w:p>
      <w:pPr>
        <w:widowControl/>
        <w:jc w:val="left"/>
        <w:rPr>
          <w:rFonts w:ascii="宋体" w:hAnsi="宋体" w:eastAsia="宋体" w:cs="宋体"/>
          <w:kern w:val="0"/>
          <w:sz w:val="24"/>
          <w:szCs w:val="24"/>
        </w:rPr>
      </w:pPr>
    </w:p>
    <w:tbl>
      <w:tblPr>
        <w:tblStyle w:val="4"/>
        <w:tblW w:w="13950" w:type="dxa"/>
        <w:tblCellSpacing w:w="0" w:type="dxa"/>
        <w:tblInd w:w="0" w:type="dxa"/>
        <w:shd w:val="clear" w:color="auto" w:fill="FFFFFF"/>
        <w:tblLayout w:type="fixed"/>
        <w:tblCellMar>
          <w:top w:w="0" w:type="dxa"/>
          <w:left w:w="0" w:type="dxa"/>
          <w:bottom w:w="0" w:type="dxa"/>
          <w:right w:w="0" w:type="dxa"/>
        </w:tblCellMar>
      </w:tblPr>
      <w:tblGrid>
        <w:gridCol w:w="13950"/>
      </w:tblGrid>
      <w:tr>
        <w:tblPrEx>
          <w:shd w:val="clear" w:color="auto" w:fill="FFFFFF"/>
          <w:tblLayout w:type="fixed"/>
          <w:tblCellMar>
            <w:top w:w="0" w:type="dxa"/>
            <w:left w:w="0" w:type="dxa"/>
            <w:bottom w:w="0" w:type="dxa"/>
            <w:right w:w="0" w:type="dxa"/>
          </w:tblCellMar>
        </w:tblPrEx>
        <w:trPr>
          <w:tblCellSpacing w:w="0" w:type="dxa"/>
        </w:trPr>
        <w:tc>
          <w:tcPr>
            <w:tcW w:w="13950" w:type="dxa"/>
            <w:shd w:val="clear" w:color="auto" w:fill="FFFFFF"/>
          </w:tcPr>
          <w:tbl>
            <w:tblPr>
              <w:tblStyle w:val="4"/>
              <w:tblW w:w="10110" w:type="dxa"/>
              <w:tblCellSpacing w:w="0" w:type="dxa"/>
              <w:tblInd w:w="0" w:type="dxa"/>
              <w:tblBorders>
                <w:top w:val="none" w:color="auto" w:sz="0" w:space="0"/>
                <w:left w:val="none" w:color="auto" w:sz="0" w:space="0"/>
                <w:bottom w:val="none" w:color="auto" w:sz="0" w:space="0"/>
                <w:right w:val="single" w:color="CACACA" w:sz="6" w:space="0"/>
                <w:insideH w:val="none" w:color="auto" w:sz="0" w:space="0"/>
                <w:insideV w:val="none" w:color="auto" w:sz="0" w:space="0"/>
              </w:tblBorders>
              <w:tblLayout w:type="fixed"/>
              <w:tblCellMar>
                <w:top w:w="0" w:type="dxa"/>
                <w:left w:w="0" w:type="dxa"/>
                <w:bottom w:w="0" w:type="dxa"/>
                <w:right w:w="0" w:type="dxa"/>
              </w:tblCellMar>
            </w:tblPr>
            <w:tblGrid>
              <w:gridCol w:w="10110"/>
            </w:tblGrid>
            <w:tr>
              <w:tblPrEx>
                <w:tblBorders>
                  <w:top w:val="none" w:color="auto" w:sz="0" w:space="0"/>
                  <w:left w:val="none" w:color="auto" w:sz="0" w:space="0"/>
                  <w:bottom w:val="none" w:color="auto" w:sz="0" w:space="0"/>
                  <w:right w:val="single" w:color="CACACA"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0110" w:type="dxa"/>
                  <w:vAlign w:val="center"/>
                </w:tcPr>
                <w:p>
                  <w:pPr>
                    <w:widowControl/>
                    <w:jc w:val="left"/>
                    <w:rPr>
                      <w:rFonts w:ascii="宋体" w:hAnsi="宋体" w:eastAsia="宋体" w:cs="宋体"/>
                      <w:kern w:val="0"/>
                      <w:sz w:val="24"/>
                      <w:szCs w:val="24"/>
                    </w:rPr>
                  </w:pPr>
                </w:p>
                <w:tbl>
                  <w:tblPr>
                    <w:tblStyle w:val="4"/>
                    <w:tblW w:w="9082" w:type="dxa"/>
                    <w:tblCellSpacing w:w="0" w:type="dxa"/>
                    <w:tblInd w:w="0" w:type="dxa"/>
                    <w:tblLayout w:type="fixed"/>
                    <w:tblCellMar>
                      <w:top w:w="0" w:type="dxa"/>
                      <w:left w:w="0" w:type="dxa"/>
                      <w:bottom w:w="0" w:type="dxa"/>
                      <w:right w:w="0" w:type="dxa"/>
                    </w:tblCellMar>
                  </w:tblPr>
                  <w:tblGrid>
                    <w:gridCol w:w="9082"/>
                  </w:tblGrid>
                  <w:tr>
                    <w:tblPrEx>
                      <w:tblLayout w:type="fixed"/>
                      <w:tblCellMar>
                        <w:top w:w="0" w:type="dxa"/>
                        <w:left w:w="0" w:type="dxa"/>
                        <w:bottom w:w="0" w:type="dxa"/>
                        <w:right w:w="0" w:type="dxa"/>
                      </w:tblCellMar>
                    </w:tblPrEx>
                    <w:trPr>
                      <w:tblCellSpacing w:w="0" w:type="dxa"/>
                    </w:trPr>
                    <w:tc>
                      <w:tcPr>
                        <w:tcW w:w="9082" w:type="dxa"/>
                        <w:vAlign w:val="center"/>
                      </w:tcPr>
                      <w:p>
                        <w:pPr>
                          <w:widowControl/>
                          <w:spacing w:line="432" w:lineRule="atLeast"/>
                          <w:jc w:val="center"/>
                          <w:rPr>
                            <w:rFonts w:ascii="宋体" w:hAnsi="宋体" w:eastAsia="宋体" w:cs="宋体"/>
                            <w:kern w:val="0"/>
                            <w:sz w:val="24"/>
                            <w:szCs w:val="24"/>
                          </w:rPr>
                        </w:pPr>
                        <w:r>
                          <w:rPr>
                            <w:rFonts w:ascii="宋体" w:hAnsi="宋体" w:eastAsia="宋体" w:cs="宋体"/>
                            <w:b/>
                            <w:bCs/>
                            <w:kern w:val="0"/>
                            <w:sz w:val="36"/>
                            <w:szCs w:val="36"/>
                          </w:rPr>
                          <w:t>国务院办公厅关于全面推进金融业</w:t>
                        </w:r>
                      </w:p>
                      <w:p>
                        <w:pPr>
                          <w:widowControl/>
                          <w:spacing w:line="432" w:lineRule="atLeast"/>
                          <w:jc w:val="center"/>
                          <w:rPr>
                            <w:rFonts w:ascii="宋体" w:hAnsi="宋体" w:eastAsia="宋体" w:cs="宋体"/>
                            <w:kern w:val="0"/>
                            <w:sz w:val="24"/>
                            <w:szCs w:val="24"/>
                          </w:rPr>
                        </w:pPr>
                        <w:r>
                          <w:rPr>
                            <w:rFonts w:ascii="宋体" w:hAnsi="宋体" w:eastAsia="宋体" w:cs="宋体"/>
                            <w:b/>
                            <w:bCs/>
                            <w:kern w:val="0"/>
                            <w:sz w:val="36"/>
                            <w:szCs w:val="36"/>
                          </w:rPr>
                          <w:t>综合统计工作的意见</w:t>
                        </w:r>
                        <w:bookmarkStart w:id="0" w:name="_GoBack"/>
                        <w:bookmarkEnd w:id="0"/>
                      </w:p>
                      <w:p>
                        <w:pPr>
                          <w:widowControl/>
                          <w:spacing w:line="432" w:lineRule="atLeast"/>
                          <w:jc w:val="center"/>
                          <w:rPr>
                            <w:rFonts w:ascii="宋体" w:hAnsi="宋体" w:eastAsia="宋体" w:cs="宋体"/>
                            <w:kern w:val="0"/>
                            <w:sz w:val="24"/>
                            <w:szCs w:val="24"/>
                          </w:rPr>
                        </w:pPr>
                        <w:r>
                          <w:rPr>
                            <w:rFonts w:hint="eastAsia" w:ascii="楷体" w:hAnsi="楷体" w:eastAsia="楷体" w:cs="宋体"/>
                            <w:kern w:val="0"/>
                            <w:sz w:val="24"/>
                            <w:szCs w:val="24"/>
                          </w:rPr>
                          <w:t>国办发〔2018〕18号</w:t>
                        </w:r>
                      </w:p>
                      <w:p>
                        <w:pPr>
                          <w:widowControl/>
                          <w:spacing w:line="432" w:lineRule="atLeast"/>
                          <w:rPr>
                            <w:rFonts w:ascii="宋体" w:hAnsi="宋体" w:eastAsia="宋体" w:cs="宋体"/>
                            <w:kern w:val="0"/>
                            <w:sz w:val="24"/>
                            <w:szCs w:val="24"/>
                          </w:rPr>
                        </w:pPr>
                      </w:p>
                      <w:p>
                        <w:pPr>
                          <w:widowControl/>
                          <w:spacing w:line="432" w:lineRule="atLeast"/>
                          <w:rPr>
                            <w:rFonts w:ascii="宋体" w:hAnsi="宋体" w:eastAsia="宋体" w:cs="宋体"/>
                            <w:kern w:val="0"/>
                            <w:sz w:val="24"/>
                            <w:szCs w:val="24"/>
                          </w:rPr>
                        </w:pPr>
                        <w:r>
                          <w:rPr>
                            <w:rFonts w:ascii="宋体" w:hAnsi="宋体" w:eastAsia="宋体" w:cs="宋体"/>
                            <w:kern w:val="0"/>
                            <w:sz w:val="24"/>
                            <w:szCs w:val="24"/>
                          </w:rPr>
                          <w:t>各省、自治区、直辖市人民政府，国务院各部委、各直属机构：</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为增强金融服务实体经济能力，健全货币政策和宏观审慎双支柱调控框架，完善金融监管体系，守住不发生系统性金融风险的底线，按照党中央、国务院关于统筹推进金融业综合统计工作的决策部署，经国务院同意，现提出以下意见。</w:t>
                        </w:r>
                      </w:p>
                      <w:p>
                        <w:pPr>
                          <w:widowControl/>
                          <w:spacing w:line="432" w:lineRule="atLeast"/>
                          <w:ind w:firstLine="480"/>
                          <w:rPr>
                            <w:rFonts w:ascii="宋体" w:hAnsi="宋体" w:eastAsia="宋体" w:cs="宋体"/>
                            <w:kern w:val="0"/>
                            <w:sz w:val="24"/>
                            <w:szCs w:val="24"/>
                          </w:rPr>
                        </w:pPr>
                        <w:r>
                          <w:rPr>
                            <w:rFonts w:ascii="宋体" w:hAnsi="宋体" w:eastAsia="宋体" w:cs="宋体"/>
                            <w:b/>
                            <w:bCs/>
                            <w:kern w:val="0"/>
                            <w:sz w:val="24"/>
                            <w:szCs w:val="24"/>
                          </w:rPr>
                          <w:t>一、深化认识</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（一）推进金融业综合统计具有重要意义。</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金融业综合统计是国家金融基础设施现代化的重要组成部分。加快推进金融业综合统计，是有效监测金融服务实体经济成效、提高服务效率的关键信息基础，是前瞻性防范化解系统性金融风险、维护金融稳定的迫切需要，是全面深化金融体制改革、建立现代金融体系的重要举措。</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（二）金融业综合统计取得的成绩和面临的问题。</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党中央、国务院高度重视金融业综合统计工作。2008年国际金融危机爆发后，金融系统开展了一系列基础理论研究和应用探索，金融业综合统计试点工作取得阶段性成果，统计和公布社会融资规模，2017年开始测算宏观杠杆率，对评估经济运行的风险状况提供了支持，金融机构资产管理产品统计制度建设取得突破性进展。同时，金融业综合统计工作仍然面临一些突出问题：统计制度存在割裂，数据标准不统一，统计技术手段单一，数据组织分散，信息归集和使用难，共享机制不完善；交叉性金融活动、系统重要性金融机构、金融控股公司等关键领域统计监测不足，风险预警数据不敏感；宏观风险统计基础较为薄弱，政策效果评估数据不充分；部分金融活动游离于金融统计体系之外，基础数据不健全等。上述问题亟需从制度上加以完善。</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（三）新时代要求加快推进金融业综合统计。</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当前，我国金融领域仍处于风险易发高发期。科学研判系统性金融风险，守住不发生系统性金融风险的底线，要求质量更高、更及时有效的预警监测数据。党的十九大明确了新时代金融业综合统计的方向和总体要求，有关部门在金融业综合统计的目标、内涵和框架等方面已形成广泛共识。加快推进金融业综合统计具有较好的工作基础，要适应新时代对金融业综合统计工作的更高要求，实现金融业综合统计量的提升和质的飞跃。</w:t>
                        </w:r>
                      </w:p>
                      <w:p>
                        <w:pPr>
                          <w:widowControl/>
                          <w:spacing w:line="432" w:lineRule="atLeast"/>
                          <w:ind w:firstLine="480"/>
                          <w:rPr>
                            <w:rFonts w:ascii="宋体" w:hAnsi="宋体" w:eastAsia="宋体" w:cs="宋体"/>
                            <w:kern w:val="0"/>
                            <w:sz w:val="24"/>
                            <w:szCs w:val="24"/>
                          </w:rPr>
                        </w:pPr>
                        <w:r>
                          <w:rPr>
                            <w:rFonts w:ascii="宋体" w:hAnsi="宋体" w:eastAsia="宋体" w:cs="宋体"/>
                            <w:b/>
                            <w:bCs/>
                            <w:kern w:val="0"/>
                            <w:sz w:val="24"/>
                            <w:szCs w:val="24"/>
                          </w:rPr>
                          <w:t>二、总体要求</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（四）指导思想。</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全面贯彻党的十九大精神，以习近平新时代中国特色社会主义思想为指导，坚持创新、协调、绿色、开放、共享的发展理念，认真落实党中央、国务院关于统筹推进金融业综合统计工作的决策部署和中央经济工作会议、全国金融工作会议要求，坚持问题导向和目标导向相结合，坚持底线思维，采用符合新时代要求的统计内容、统计理念和统计手段，按照强基础、补短板、扩内容、促共享的工作方针，建立为服务实体经济、防控金融风险、深化金融改革三大任务服务的金融业综合统计体系。</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（五）工作目标。</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总体目标。</w:t>
                        </w:r>
                        <w:r>
                          <w:rPr>
                            <w:rFonts w:ascii="宋体" w:hAnsi="宋体" w:eastAsia="宋体" w:cs="宋体"/>
                            <w:kern w:val="0"/>
                            <w:sz w:val="24"/>
                            <w:szCs w:val="24"/>
                          </w:rPr>
                          <w:t>建立科学统一的金融业综合统计管理和运行机制，制定完善标准和制度体系，建设运行国家金融基础数据库，建成覆盖所有金融机构、金融基础设施和金融活动的金融业综合统计，完善大国金融数据治理，有效支持货币政策决策、宏观审慎管理和金融监管协调，守住不发生系统性金融风险的底线，不断提升金融服务实体经济的能力和水平。</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阶段性目标。</w:t>
                        </w:r>
                        <w:r>
                          <w:rPr>
                            <w:rFonts w:ascii="宋体" w:hAnsi="宋体" w:eastAsia="宋体" w:cs="宋体"/>
                            <w:kern w:val="0"/>
                            <w:sz w:val="24"/>
                            <w:szCs w:val="24"/>
                          </w:rPr>
                          <w:t>近期（2018—2019年），重点开展以下工作：以金融机构资产管理产品统计为突破口，推进交叉性金融产品统计，实施跨市场产品全流程、全链条统计监测；推进系统重要性金融机构及金融控股公司统计，加强系统性金融风险关键环节统计监测；编制金融业资产负债表，完善金融资金流量、存量统计，夯实宏观杠杆率测算基础；加强绿色金融、普惠金融等专项统计，合理评估金融对实体经济的支持力度；依托金融基础设施，建立完善债券市场、货币市场、外汇市场等金融市场统计，有效识别市场风险及其传染渠道；建立金融业综合统计标准体系，推进行业统计标准与基础统计标准的对标。</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中期（2020—2022年），进一步开展以下工作：建立地方金融管理部门监管的地方金融组织和互联网金融机构统计，全面加强对风险防控薄弱环节的统计监测；持续完善金融业综合统计标准体系，完成行业统计标准与基础统计标准的对标；建设先进、完备的国家金融基础数据库。</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（六）基本原则。</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全面覆盖，适度前瞻。</w:t>
                        </w:r>
                        <w:r>
                          <w:rPr>
                            <w:rFonts w:ascii="宋体" w:hAnsi="宋体" w:eastAsia="宋体" w:cs="宋体"/>
                            <w:kern w:val="0"/>
                            <w:sz w:val="24"/>
                            <w:szCs w:val="24"/>
                          </w:rPr>
                          <w:t>坚持统计对象全面，做到覆盖所有金融机构、金融基础设施和金融活动；坚持统计业务全面，做到覆盖金融交易的全部链条，密切关注金融新业态、新产品，适时纳入统计监测范围；坚持统计内容全面，做到总量与结构分明、数量与价格兼备、存量与流量并重。</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关联互通，共建共享。</w:t>
                        </w:r>
                        <w:r>
                          <w:rPr>
                            <w:rFonts w:ascii="宋体" w:hAnsi="宋体" w:eastAsia="宋体" w:cs="宋体"/>
                            <w:kern w:val="0"/>
                            <w:sz w:val="24"/>
                            <w:szCs w:val="24"/>
                          </w:rPr>
                          <w:t>统筹协调工作方案和统计内容，采用统一规范的定义、口径、分类、计值和编码规则，建立标准化生产流程，实现统计信息互融互通、关联穿透、充分共享。</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整体推进，重点突破。</w:t>
                        </w:r>
                        <w:r>
                          <w:rPr>
                            <w:rFonts w:ascii="宋体" w:hAnsi="宋体" w:eastAsia="宋体" w:cs="宋体"/>
                            <w:kern w:val="0"/>
                            <w:sz w:val="24"/>
                            <w:szCs w:val="24"/>
                          </w:rPr>
                          <w:t>各项任务措施按规划框架全方位推进，重点关注容易引发系统性金融风险的关键领域和环节，急用先行，分阶段、分步骤实施，成熟一项、实施一项。</w:t>
                        </w:r>
                      </w:p>
                      <w:p>
                        <w:pPr>
                          <w:widowControl/>
                          <w:spacing w:line="432" w:lineRule="atLeast"/>
                          <w:ind w:firstLine="480"/>
                          <w:rPr>
                            <w:rFonts w:ascii="宋体" w:hAnsi="宋体" w:eastAsia="宋体" w:cs="宋体"/>
                            <w:kern w:val="0"/>
                            <w:sz w:val="24"/>
                            <w:szCs w:val="24"/>
                          </w:rPr>
                        </w:pPr>
                        <w:r>
                          <w:rPr>
                            <w:rFonts w:ascii="宋体" w:hAnsi="宋体" w:eastAsia="宋体" w:cs="宋体"/>
                            <w:b/>
                            <w:bCs/>
                            <w:kern w:val="0"/>
                            <w:sz w:val="24"/>
                            <w:szCs w:val="24"/>
                          </w:rPr>
                          <w:t>三、工作机制</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（七）统一标准。</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对基础统计要素制定统一标准，明确定义、分类和编码规则。各单位统计制度和统计内容要与基础统计标准协调对标，形成口径明确、协调统一、兼容可比的统计基础。对于暂不具备协调对标条件的可设立过渡期，过渡期为基础统计标准发布后两年，督促其在过渡期内完成对标工作。</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（八）同步采集。</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对于新建统计，人民银行与其他中央及地方金融管理部门同步向金融机构或地方金融组织直接采集数据；对于现行统计，由人民银行协调其他中央及地方金融管理部门归集数据，待国家金融基础数据库建成后，协调对标导入，保证金融业综合统计数据来源的及时性、完整性。</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（九）集中校验。</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对数据进行集中存储，分主题管理，集中校验。按照统计制度进行基础数据的合法性、完备性、逻辑性校验。将各主题数据与基础统计标准对标，建立数据间的逻辑对应关系，进行跨主题关联校验。从整体上实现对数据质量的自动化管控和全面治理，支持数据应用层面的统一汇总、信息整合、关联穿透。</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（十）汇总共享。</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统一制定完善数据汇总规则，根据基础统计标准汇总加工数据；统一制定管理金融业综合统计报表体系。建立金融业综合统计数据共享机制，在符合国家保密规定的前提下，提高统计透明度和数据使用效率，实现对基础数据源、汇总指标以及统计报表的充分共享。健全金融管理部门与发展改革部门、财政部门、统计部门等之间金融综合统计数据的分级共享机制。</w:t>
                        </w:r>
                      </w:p>
                      <w:p>
                        <w:pPr>
                          <w:widowControl/>
                          <w:spacing w:line="432" w:lineRule="atLeast"/>
                          <w:ind w:firstLine="480"/>
                          <w:rPr>
                            <w:rFonts w:ascii="宋体" w:hAnsi="宋体" w:eastAsia="宋体" w:cs="宋体"/>
                            <w:kern w:val="0"/>
                            <w:sz w:val="24"/>
                            <w:szCs w:val="24"/>
                          </w:rPr>
                        </w:pPr>
                        <w:r>
                          <w:rPr>
                            <w:rFonts w:ascii="宋体" w:hAnsi="宋体" w:eastAsia="宋体" w:cs="宋体"/>
                            <w:b/>
                            <w:bCs/>
                            <w:kern w:val="0"/>
                            <w:sz w:val="24"/>
                            <w:szCs w:val="24"/>
                          </w:rPr>
                          <w:t>四、关键支撑</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（十一）制定完善金融业综合统计标准，形成协调统一、兼容可比的统计基础。</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1.制定完善金融业综合统计基础标准。</w:t>
                        </w:r>
                        <w:r>
                          <w:rPr>
                            <w:rFonts w:ascii="宋体" w:hAnsi="宋体" w:eastAsia="宋体" w:cs="宋体"/>
                            <w:kern w:val="0"/>
                            <w:sz w:val="24"/>
                            <w:szCs w:val="24"/>
                          </w:rPr>
                          <w:t>统一规范金融机构、金融工具、金融交易对手方所属经济部门、金融基础设施等基础统计要素的定义、口径、分类和编码等规则。基础统计标准保持与国家统计标准的协调对标，并根据金融业态和金融市场发展动态适时调整完善。</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一是完善金融机构统计分类及编码标准。结合国际标准和我国金融监管实际，明确银行业存款类金融机构、银行业非存款类金融机构、证券业金融机构、保险业金融机构、交易及结算类金融机构、金融控股公司、其他金融机构等划分方法，并根据监管规制，加快明确创新型机构的类别归属，统一金融机构编码，形成金融机构名录，作为确定统计对象和交易对手的基石。</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二是制定完善金融工具统计分类及编码标准。明确存款、贷款、债务证券、股权及投资基金份额、金融衍生产品、保险准备金、或有金融工具等金融工具的经济功能、流动性、期限、风险、价格等属性分类及记录方法，并根据监管规制，加快明确创新型产品的类别归属。</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三是制定金融交易对手方所属经济部门分类及编码标准。明确住户、广义政府、非金融企业、金融机构、境外等部门的划分方法，统一交易对手方统计编码。</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四是制定关于提供金融交易、支付、清算、托管结算等服务的金融基础设施的统计标准，使各类市场具有协调兼容的统计基础。</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2.相关部门制定行业统计标准，并与基础统计标准协调对标。</w:t>
                        </w:r>
                        <w:r>
                          <w:rPr>
                            <w:rFonts w:ascii="宋体" w:hAnsi="宋体" w:eastAsia="宋体" w:cs="宋体"/>
                            <w:kern w:val="0"/>
                            <w:sz w:val="24"/>
                            <w:szCs w:val="24"/>
                          </w:rPr>
                          <w:t>行业统计标准根据基础统计标准的分类要求，进一步细化分类，特别是金融工具、金融交易对手方所属经济部门等属性。细化后的行业分类标准可直接或重新加工组合对应基础统计标准的分类，确保统计口径、分类的一致性。</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（十二）建立国家金融基础数据库，强化大国金融数据治理手段。</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国家金融基础数据库是实施金融业综合统计的重要载体，是金融业综合统计核心数据的组织枢纽。</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近期（2018—2019年），国家金融基础数据库建立金融业综合统计基础数据归集平台，在数据源上依托金融管理部门现有信息系统资源，构建分层次的数据组织架构。对于现有统计能够支持近期工作目标的内容，由该平台从金融管理部门现有数据库归集相关数据；对于现有统计不能支持近期工作目标的内容，由该平台根据新建统计制度，直接从金融机构采集数据。平台对归集和采集的数据进行信息整合、集中质量管控、统一汇总、编制报表，实现有效数据共享。</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中期（2020—2022年），在总结金融业综合统计基础数据归集平台建设经验的基础上，以金融统计标准为先导，以信息安全为基石，综合运用大数据等现代信息技术手段，加快建设先进、完备的国家金融基础数据库，完善与金融业综合统计相适应的数据架构和生产、应用系统，实现对基础数据源、汇总指标与统计报表的多层级数据逻辑对应关系审核，并提供数据查询、报表生产、数据挖掘与分析服务，多方位实现统计数据的有效共享。</w:t>
                        </w:r>
                      </w:p>
                      <w:p>
                        <w:pPr>
                          <w:widowControl/>
                          <w:spacing w:line="432" w:lineRule="atLeast"/>
                          <w:ind w:firstLine="480"/>
                          <w:rPr>
                            <w:rFonts w:ascii="宋体" w:hAnsi="宋体" w:eastAsia="宋体" w:cs="宋体"/>
                            <w:kern w:val="0"/>
                            <w:sz w:val="24"/>
                            <w:szCs w:val="24"/>
                          </w:rPr>
                        </w:pPr>
                        <w:r>
                          <w:rPr>
                            <w:rFonts w:ascii="宋体" w:hAnsi="宋体" w:eastAsia="宋体" w:cs="宋体"/>
                            <w:b/>
                            <w:bCs/>
                            <w:kern w:val="0"/>
                            <w:sz w:val="24"/>
                            <w:szCs w:val="24"/>
                          </w:rPr>
                          <w:t>五、主要任务</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（十三）建立交叉性金融产品统计，有效统计监测跨行业、跨市场、跨部门金融活动。</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制定和落实金融机构资产管理产品统计制度，有效统计资产管理产品规模、关联性、进入实体经济和金融市场的资金结构、杠杆率、收益率和期限结构等重要监测指标，全面有效监测银行业、证券业、保险业金融机构资产管理产品，反映产品之间的关联性、发现金融风险的传染性、实现资金链条的穿透性。过渡期按照数据报送模板采集数据，建立资产管理产品统计信息系统，最终实现逐个产品常规直报。在资产管理产品统计基础上，制定交叉性金融产品统计制度，扩展交叉性金融产品统计监测，识别风险传染渠道。</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（十四）建立系统重要性金融机构统计，及时发现风险传导节点和重大风险隐患。</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制定银行业、证券业、保险业系统重要性金融机构统计制度，建立“机构对机构”交易对手统计模板，重点统计系统重要性金融机构之间、内部机构之间、内部机构与外部机构之间的交易和风险，丰富国别、币种、剩余期限等内容信息，强化对系统重要性金融机构从事的证券交易、衍生品交易的统计。建立系统重要性金融机构统计监测系统，全方位统计监测系统重要性金融机构的金融活动，全面掌握系统重要性金融机构对金融体系的影响程度。</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（十五）建立金融控股公司等金融集团统计，支持内部关联交易判断和外部风险传染识别。</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制定金融控股公司等金融集团统计制度，建立金融控股公司等金融集团统计监测系统。全面统计金融控股公司等金融集团的股权关系，穿透至实际控制人、最终受益人。统计金融集团公司与子公司、各子公司之间的金融活动，以反映金融集团内部关联交易及风险。建立多维度、多层次并表口径的资产负债表，开展并表统计监测，充分反映金融集团整体层面的资本充足、流动性、风险等状况，并识别外部风险传染路径。</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（十六）编制金融业资产负债表，完善金融资金流量、存量统计，强化宏观杠杆率监测基础。</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依据金融业综合统计基础标准制定银行业、证券业、保险业金融机构及特定目的载体统一分类的资产负债统计指标体系，以金融工具和交易对手方所属经济部门为核心分类，深化指标层级，并建立银行业、证券业、保险业金融机构统计指标与资产负债统计指标体系的对应关系。按照该指标体系统一采集全部金融机构的资产负债数据，编制统一的金融业资产负债表，实现全方位的金融业资产负债统计，摸清金融业家底；完善反映国民经济各部门金融活动的资金流量和存量统计，做好与国民账户的衔接与配合工作；在此基础上完善对宏观杠杆率的统计测算。</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（十七）完善货币信贷统计，加强对宏观调控和信贷政策的支持。</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与时俱进完善货币信贷统计制度与宏观调控总量指标，完善货币政策传导和流动性创造过程的统计监测，促进宏观调控、经济结构调整和转型升级。编制普惠金融、绿色金融等重点领域的信贷政策统计数据，反映金融体系对国民经济重点领域和薄弱环节的信贷政策执行效果和支持力度。</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（十八）以金融基础设施为依托完善金融市场统计，为金融市场风险评估提供支撑。</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完善债券市场、货币市场、外汇市场、黄金市场统计，覆盖上述各类现货市场及其对应的衍生品市场。以金融业综合统计基础标准为抓手，以服务相关市场的金融基础设施为依托，实现上述市场统计信息的统一归集和互联互通。股票市场统计标准与金融业综合统计基础标准相对标，实现对股票市场与其他市场数据主要关系的关联监测。现阶段，以债券市场统计为主要推进领域，完善债券统计制度，统计范围覆盖银行间市场、交易所市场、商业银行柜台及其他场所发行以及境内机构在境外发行的债务证券；统一债券统计分类、接口规范和报送规则，统计债券市场交易品种、交易工具、交易对手、交易价格等维度信息，覆盖债券现货市场与期货市场，并实现与金融机构统计、金融产品统计的有效关联。</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（十九）开展对地方金融管理部门监管的地方金融组织统计、互联网金融机构统计等，填补统计空白。</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人民银行会同相关管理部门制定小额贷款公司、融资担保公司、区域性股权市场、典当行、融资租赁公司、商业保理公司、地方资产管理公司、互联网金融机构等的统计制度，指导地方金融管理部门开展其监管的地方金融组织统计，建立中央与地方之间的金融信息共享机制。</w:t>
                        </w:r>
                      </w:p>
                      <w:p>
                        <w:pPr>
                          <w:widowControl/>
                          <w:spacing w:line="432" w:lineRule="atLeast"/>
                          <w:ind w:firstLine="480"/>
                          <w:rPr>
                            <w:rFonts w:ascii="宋体" w:hAnsi="宋体" w:eastAsia="宋体" w:cs="宋体"/>
                            <w:kern w:val="0"/>
                            <w:sz w:val="24"/>
                            <w:szCs w:val="24"/>
                          </w:rPr>
                        </w:pPr>
                        <w:r>
                          <w:rPr>
                            <w:rFonts w:ascii="宋体" w:hAnsi="宋体" w:eastAsia="宋体" w:cs="宋体"/>
                            <w:b/>
                            <w:bCs/>
                            <w:kern w:val="0"/>
                            <w:sz w:val="24"/>
                            <w:szCs w:val="24"/>
                          </w:rPr>
                          <w:t>六、保障措施</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（二十）加强组织领导，强化统筹协调。</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人民银行统筹金融业综合统计工作，牵头成立统筹金融业综合统计管理工作小组，加强成员单位的协调配合。各相关单位按照任务分工落实责任，形成合力，共同推进。定期开展数据核查和质量评估，交流对经济金融形势的研判和风险识别，评估金融业综合统计相关标准和制度的科学性、有效性，评估数据共享效率和共享水平。</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（二十一）加大资源投入，做好宣传培训。</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充分调动组织、资金、人员等多方资源，切实加强建设、运营、维护和管理国家金融基础数据库的力量，综合运用现代信息技术，提供高效有力的金融统计数据服务。加大金融统计从业人员培训力度，创新培训方式，拓宽培训渠道，扎实推进高层次人才队伍建设。坚持正确舆论导向，加强对标准化、规范化、综合化现代金融统计理念的宣传，营造良好统计生态环境。</w:t>
                        </w:r>
                      </w:p>
                      <w:p>
                        <w:pPr>
                          <w:widowControl/>
                          <w:spacing w:line="432" w:lineRule="atLeast"/>
                          <w:ind w:firstLine="480"/>
                          <w:rPr>
                            <w:rFonts w:ascii="宋体" w:hAnsi="宋体" w:eastAsia="宋体" w:cs="宋体"/>
                            <w:kern w:val="0"/>
                            <w:sz w:val="24"/>
                            <w:szCs w:val="24"/>
                          </w:rPr>
                        </w:pPr>
                        <w:r>
                          <w:rPr>
                            <w:rFonts w:hint="eastAsia" w:ascii="楷体" w:hAnsi="楷体" w:eastAsia="楷体" w:cs="宋体"/>
                            <w:kern w:val="0"/>
                            <w:sz w:val="24"/>
                            <w:szCs w:val="24"/>
                          </w:rPr>
                          <w:t>（二十二）夯实法律基础，提供法治保障。</w:t>
                        </w: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依法开展金融业综合统计工作，推动加快金融业综合统计立法，完善相关领域的法律法规体系。推动修订人民银行法、银行业监督管理法、证券法、保险法等相关法律，出台金融统计管理条例，明确金融管理部门和统计对象的权利义务，从拓宽统计领域、丰富统计内容、促进统计管理协同等方面重点提供法律支持和保障。增强相关法律法规之间的协同性，在拟出台的各项金融监管规制中明确监管对象报送金融业综合统计数据的义务。</w:t>
                        </w:r>
                      </w:p>
                      <w:p>
                        <w:pPr>
                          <w:widowControl/>
                          <w:spacing w:line="432" w:lineRule="atLeast"/>
                          <w:ind w:firstLine="480"/>
                          <w:rPr>
                            <w:rFonts w:ascii="宋体" w:hAnsi="宋体" w:eastAsia="宋体" w:cs="宋体"/>
                            <w:kern w:val="0"/>
                            <w:sz w:val="24"/>
                            <w:szCs w:val="24"/>
                          </w:rPr>
                        </w:pPr>
                      </w:p>
                      <w:p>
                        <w:pPr>
                          <w:widowControl/>
                          <w:spacing w:line="432" w:lineRule="atLeast"/>
                          <w:ind w:firstLine="480"/>
                          <w:rPr>
                            <w:rFonts w:ascii="宋体" w:hAnsi="宋体" w:eastAsia="宋体" w:cs="宋体"/>
                            <w:kern w:val="0"/>
                            <w:sz w:val="24"/>
                            <w:szCs w:val="24"/>
                          </w:rPr>
                        </w:pPr>
                        <w:r>
                          <w:rPr>
                            <w:rFonts w:ascii="宋体" w:hAnsi="宋体" w:eastAsia="宋体" w:cs="宋体"/>
                            <w:kern w:val="0"/>
                            <w:sz w:val="24"/>
                            <w:szCs w:val="24"/>
                          </w:rPr>
                          <w:t>附件：全面推进金融业综合统计工作任务分工表</w:t>
                        </w:r>
                      </w:p>
                      <w:p>
                        <w:pPr>
                          <w:widowControl/>
                          <w:spacing w:line="432" w:lineRule="atLeast"/>
                          <w:jc w:val="right"/>
                          <w:rPr>
                            <w:rFonts w:ascii="宋体" w:hAnsi="宋体" w:eastAsia="宋体" w:cs="宋体"/>
                            <w:kern w:val="0"/>
                            <w:sz w:val="24"/>
                            <w:szCs w:val="24"/>
                          </w:rPr>
                        </w:pPr>
                        <w:r>
                          <w:rPr>
                            <w:rFonts w:ascii="宋体" w:hAnsi="宋体" w:eastAsia="宋体" w:cs="宋体"/>
                            <w:kern w:val="0"/>
                            <w:sz w:val="24"/>
                            <w:szCs w:val="24"/>
                          </w:rPr>
                          <w:t>国务院办公厅           </w:t>
                        </w:r>
                      </w:p>
                      <w:p>
                        <w:pPr>
                          <w:widowControl/>
                          <w:spacing w:line="432" w:lineRule="atLeast"/>
                          <w:jc w:val="right"/>
                          <w:rPr>
                            <w:rFonts w:ascii="宋体" w:hAnsi="宋体" w:eastAsia="宋体" w:cs="宋体"/>
                            <w:kern w:val="0"/>
                            <w:sz w:val="24"/>
                            <w:szCs w:val="24"/>
                          </w:rPr>
                        </w:pPr>
                        <w:r>
                          <w:rPr>
                            <w:rFonts w:ascii="宋体" w:hAnsi="宋体" w:eastAsia="宋体" w:cs="宋体"/>
                            <w:kern w:val="0"/>
                            <w:sz w:val="24"/>
                            <w:szCs w:val="24"/>
                          </w:rPr>
                          <w:t>2018年3月18日          </w:t>
                        </w:r>
                      </w:p>
                      <w:p>
                        <w:pPr>
                          <w:widowControl/>
                          <w:spacing w:line="432" w:lineRule="atLeast"/>
                          <w:ind w:firstLine="480"/>
                          <w:rPr>
                            <w:rFonts w:hint="eastAsia" w:ascii="宋体" w:hAnsi="宋体" w:eastAsia="宋体" w:cs="宋体"/>
                            <w:kern w:val="0"/>
                            <w:sz w:val="24"/>
                            <w:szCs w:val="24"/>
                          </w:rPr>
                        </w:pPr>
                        <w:r>
                          <w:rPr>
                            <w:rFonts w:ascii="宋体" w:hAnsi="宋体" w:eastAsia="宋体" w:cs="宋体"/>
                            <w:kern w:val="0"/>
                            <w:sz w:val="24"/>
                            <w:szCs w:val="24"/>
                          </w:rPr>
                          <w:t>（此件公开发布）</w:t>
                        </w:r>
                      </w:p>
                      <w:p>
                        <w:pPr>
                          <w:widowControl/>
                          <w:spacing w:line="432" w:lineRule="atLeast"/>
                          <w:ind w:firstLine="480"/>
                          <w:rPr>
                            <w:rFonts w:ascii="宋体" w:hAnsi="宋体" w:eastAsia="宋体" w:cs="宋体"/>
                            <w:kern w:val="0"/>
                            <w:sz w:val="24"/>
                            <w:szCs w:val="24"/>
                          </w:rPr>
                        </w:pPr>
                      </w:p>
                      <w:p>
                        <w:pPr>
                          <w:widowControl/>
                          <w:spacing w:line="432" w:lineRule="atLeast"/>
                          <w:rPr>
                            <w:rFonts w:ascii="宋体" w:hAnsi="宋体" w:eastAsia="宋体" w:cs="宋体"/>
                            <w:kern w:val="0"/>
                            <w:sz w:val="24"/>
                            <w:szCs w:val="24"/>
                          </w:rPr>
                        </w:pPr>
                        <w:r>
                          <w:rPr>
                            <w:rFonts w:ascii="宋体" w:hAnsi="宋体" w:eastAsia="宋体" w:cs="宋体"/>
                            <w:b/>
                            <w:bCs/>
                            <w:kern w:val="0"/>
                            <w:sz w:val="24"/>
                            <w:szCs w:val="24"/>
                          </w:rPr>
                          <w:t>附件</w:t>
                        </w:r>
                      </w:p>
                      <w:p>
                        <w:pPr>
                          <w:widowControl/>
                          <w:spacing w:line="432" w:lineRule="atLeast"/>
                          <w:rPr>
                            <w:rFonts w:ascii="宋体" w:hAnsi="宋体" w:eastAsia="宋体" w:cs="宋体"/>
                            <w:kern w:val="0"/>
                            <w:sz w:val="24"/>
                            <w:szCs w:val="24"/>
                          </w:rPr>
                        </w:pPr>
                      </w:p>
                      <w:p>
                        <w:pPr>
                          <w:widowControl/>
                          <w:spacing w:line="432" w:lineRule="atLeast"/>
                          <w:jc w:val="center"/>
                          <w:rPr>
                            <w:rFonts w:ascii="宋体" w:hAnsi="宋体" w:eastAsia="宋体" w:cs="宋体"/>
                            <w:kern w:val="0"/>
                            <w:sz w:val="24"/>
                            <w:szCs w:val="24"/>
                          </w:rPr>
                        </w:pPr>
                        <w:r>
                          <w:rPr>
                            <w:rFonts w:ascii="宋体" w:hAnsi="宋体" w:eastAsia="宋体" w:cs="宋体"/>
                            <w:b/>
                            <w:bCs/>
                            <w:kern w:val="0"/>
                            <w:sz w:val="36"/>
                            <w:szCs w:val="36"/>
                          </w:rPr>
                          <w:t>全面推进金融业综合统计工作任务分工表</w:t>
                        </w:r>
                      </w:p>
                      <w:p>
                        <w:pPr>
                          <w:widowControl/>
                          <w:spacing w:line="432" w:lineRule="atLeast"/>
                          <w:jc w:val="center"/>
                          <w:rPr>
                            <w:rFonts w:ascii="宋体" w:hAnsi="宋体" w:eastAsia="宋体" w:cs="宋体"/>
                            <w:kern w:val="0"/>
                            <w:sz w:val="24"/>
                            <w:szCs w:val="24"/>
                          </w:rPr>
                        </w:pPr>
                      </w:p>
                      <w:p>
                        <w:pPr>
                          <w:widowControl/>
                          <w:spacing w:line="432" w:lineRule="atLeast"/>
                          <w:jc w:val="center"/>
                          <w:rPr>
                            <w:rFonts w:ascii="宋体" w:hAnsi="宋体" w:eastAsia="宋体" w:cs="宋体"/>
                            <w:kern w:val="0"/>
                            <w:sz w:val="24"/>
                            <w:szCs w:val="24"/>
                          </w:rPr>
                        </w:pPr>
                      </w:p>
                    </w:tc>
                  </w:tr>
                </w:tbl>
                <w:tbl>
                  <w:tblPr>
                    <w:tblStyle w:val="4"/>
                    <w:tblpPr w:leftFromText="180" w:rightFromText="180" w:vertAnchor="text" w:horzAnchor="page" w:tblpX="1" w:tblpY="-15480"/>
                    <w:tblOverlap w:val="never"/>
                    <w:tblW w:w="9072" w:type="dxa"/>
                    <w:tblInd w:w="0" w:type="dxa"/>
                    <w:tblLayout w:type="fixed"/>
                    <w:tblCellMar>
                      <w:top w:w="0" w:type="dxa"/>
                      <w:left w:w="0" w:type="dxa"/>
                      <w:bottom w:w="0" w:type="dxa"/>
                      <w:right w:w="0" w:type="dxa"/>
                    </w:tblCellMar>
                  </w:tblPr>
                  <w:tblGrid>
                    <w:gridCol w:w="1128"/>
                    <w:gridCol w:w="709"/>
                    <w:gridCol w:w="1760"/>
                    <w:gridCol w:w="3343"/>
                    <w:gridCol w:w="1134"/>
                    <w:gridCol w:w="998"/>
                  </w:tblGrid>
                  <w:tr>
                    <w:tblPrEx>
                      <w:tblLayout w:type="fixed"/>
                      <w:tblCellMar>
                        <w:top w:w="0" w:type="dxa"/>
                        <w:left w:w="0" w:type="dxa"/>
                        <w:bottom w:w="0" w:type="dxa"/>
                        <w:right w:w="0" w:type="dxa"/>
                      </w:tblCellMar>
                    </w:tblPrEx>
                    <w:tc>
                      <w:tcPr>
                        <w:tcW w:w="11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b/>
                            <w:bCs/>
                            <w:kern w:val="0"/>
                            <w:sz w:val="20"/>
                            <w:szCs w:val="20"/>
                          </w:rPr>
                          <w:t>工作类别</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b/>
                            <w:bCs/>
                            <w:kern w:val="0"/>
                            <w:sz w:val="20"/>
                            <w:szCs w:val="20"/>
                          </w:rPr>
                          <w:t>序号</w:t>
                        </w:r>
                      </w:p>
                    </w:tc>
                    <w:tc>
                      <w:tcPr>
                        <w:tcW w:w="17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b/>
                            <w:bCs/>
                            <w:kern w:val="0"/>
                            <w:sz w:val="20"/>
                            <w:szCs w:val="20"/>
                          </w:rPr>
                          <w:t>工作任务</w:t>
                        </w:r>
                      </w:p>
                    </w:tc>
                    <w:tc>
                      <w:tcPr>
                        <w:tcW w:w="33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b/>
                            <w:bCs/>
                            <w:kern w:val="0"/>
                            <w:sz w:val="20"/>
                            <w:szCs w:val="20"/>
                          </w:rPr>
                          <w:t>具体内容</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b/>
                            <w:bCs/>
                            <w:kern w:val="0"/>
                            <w:sz w:val="20"/>
                            <w:szCs w:val="20"/>
                          </w:rPr>
                          <w:t>责任部门</w:t>
                        </w:r>
                      </w:p>
                    </w:tc>
                    <w:tc>
                      <w:tcPr>
                        <w:tcW w:w="9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b/>
                            <w:bCs/>
                            <w:kern w:val="0"/>
                            <w:sz w:val="20"/>
                            <w:szCs w:val="20"/>
                          </w:rPr>
                          <w:t>时间</w:t>
                        </w:r>
                      </w:p>
                    </w:tc>
                  </w:tr>
                  <w:tr>
                    <w:tblPrEx>
                      <w:tblLayout w:type="fixed"/>
                      <w:tblCellMar>
                        <w:top w:w="0" w:type="dxa"/>
                        <w:left w:w="0" w:type="dxa"/>
                        <w:bottom w:w="0" w:type="dxa"/>
                        <w:right w:w="0" w:type="dxa"/>
                      </w:tblCellMar>
                    </w:tblPrEx>
                    <w:tc>
                      <w:tcPr>
                        <w:tcW w:w="112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关键支撑</w:t>
                        </w:r>
                      </w:p>
                    </w:tc>
                    <w:tc>
                      <w:tcPr>
                        <w:tcW w:w="70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 w:val="20"/>
                            <w:szCs w:val="20"/>
                          </w:rPr>
                          <w:t>1</w:t>
                        </w:r>
                      </w:p>
                    </w:tc>
                    <w:tc>
                      <w:tcPr>
                        <w:tcW w:w="176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制定完善金融业综合统计标准，形成协调统一、兼容可比的统计基础。</w:t>
                        </w:r>
                      </w:p>
                    </w:tc>
                    <w:tc>
                      <w:tcPr>
                        <w:tcW w:w="33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制定完善金融业综合统计基础标准。统一规范金融机构、金融工具、金融交易对手方所属经济部门、金融基础设施等基础统计要素的定义、口径、分类和编码等规则。基础统计标准保持与国家统计标准的协调对标，并根据金融业态和金融市场发展动态适时调整完善。一是完善金融机构统计分类及编码标准。二是制定完善金融工具统计分类及编码标准。三是制定金融交易对手方所属经济部门分类及编码标准。四是制定关于提供金融交易、支付、清算、托管结算等服务的金融基础设施的统计标准，使各类市场具有协调兼容的统计基础。</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人民银行牵头，金融监督管理部门、国家外汇局配合。</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持续推进</w:t>
                        </w:r>
                      </w:p>
                    </w:tc>
                  </w:tr>
                  <w:tr>
                    <w:tblPrEx>
                      <w:tblLayout w:type="fixed"/>
                      <w:tblCellMar>
                        <w:top w:w="0" w:type="dxa"/>
                        <w:left w:w="0" w:type="dxa"/>
                        <w:bottom w:w="0" w:type="dxa"/>
                        <w:right w:w="0" w:type="dxa"/>
                      </w:tblCellMar>
                    </w:tblPrEx>
                    <w:tc>
                      <w:tcPr>
                        <w:tcW w:w="1128" w:type="dxa"/>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709" w:type="dxa"/>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760" w:type="dxa"/>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33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相关部门制定行业统计标准，并与基础统计标准协调对标。行业统计标准根据基础统计标准的分类要求，进一步细化分类，特别是金融工具、金融交易对手方所属经济部门等属性。细化后的行业分类标准可直接或重新加工组合对应基础统计标准的分类，确保统计口径、分类的一致性。</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人民银行、金融监督管理部门、国家外汇局按职责分工负责。</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持续推进</w:t>
                        </w:r>
                      </w:p>
                    </w:tc>
                  </w:tr>
                  <w:tr>
                    <w:tblPrEx>
                      <w:tblLayout w:type="fixed"/>
                      <w:tblCellMar>
                        <w:top w:w="0" w:type="dxa"/>
                        <w:left w:w="0" w:type="dxa"/>
                        <w:bottom w:w="0" w:type="dxa"/>
                        <w:right w:w="0" w:type="dxa"/>
                      </w:tblCellMar>
                    </w:tblPrEx>
                    <w:tc>
                      <w:tcPr>
                        <w:tcW w:w="1128" w:type="dxa"/>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70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 w:val="20"/>
                            <w:szCs w:val="20"/>
                          </w:rPr>
                          <w:t>2</w:t>
                        </w:r>
                      </w:p>
                    </w:tc>
                    <w:tc>
                      <w:tcPr>
                        <w:tcW w:w="176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建立国家金融基础数据库，强化大国金融数据治理手段。</w:t>
                        </w:r>
                      </w:p>
                    </w:tc>
                    <w:tc>
                      <w:tcPr>
                        <w:tcW w:w="33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国家金融基础数据库建立金融业综合统计基础数据归集平台，在数据源上依托金融管理部门现有信息系统资源，构建分层次的数据组织架构。对于现有统计能够支持近期工作目标的内容，由该平台从金融管理部门现有数据库归集相关数据；对于现有统计不能支持近期工作目标的内容，由该平台根据新建统计制度，直接从金融机构采集数据。平台对归集和采集的数据进行信息整合、集中质量管控、统一汇总、编制报表，实现有效数据共享。</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人民银行牵头，金融监督管理部门、国家外汇局配合。</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近期</w:t>
                        </w:r>
                        <w:r>
                          <w:rPr>
                            <w:rFonts w:ascii="Calibri" w:hAnsi="Calibri" w:eastAsia="宋体" w:cs="宋体"/>
                            <w:kern w:val="0"/>
                            <w:sz w:val="20"/>
                            <w:szCs w:val="20"/>
                          </w:rPr>
                          <w:br w:type="textWrapping"/>
                        </w:r>
                        <w:r>
                          <w:rPr>
                            <w:rFonts w:hint="eastAsia" w:ascii="宋体" w:hAnsi="宋体" w:eastAsia="宋体" w:cs="宋体"/>
                            <w:kern w:val="0"/>
                            <w:sz w:val="20"/>
                            <w:szCs w:val="20"/>
                          </w:rPr>
                          <w:t>（</w:t>
                        </w:r>
                        <w:r>
                          <w:rPr>
                            <w:rFonts w:ascii="Calibri" w:hAnsi="Calibri" w:eastAsia="宋体" w:cs="宋体"/>
                            <w:kern w:val="0"/>
                            <w:sz w:val="20"/>
                            <w:szCs w:val="20"/>
                          </w:rPr>
                          <w:t>2018</w:t>
                        </w:r>
                        <w:r>
                          <w:rPr>
                            <w:rFonts w:hint="eastAsia" w:ascii="宋体" w:hAnsi="宋体" w:eastAsia="宋体" w:cs="宋体"/>
                            <w:kern w:val="0"/>
                            <w:sz w:val="20"/>
                            <w:szCs w:val="20"/>
                          </w:rPr>
                          <w:t>—</w:t>
                        </w:r>
                        <w:r>
                          <w:rPr>
                            <w:rFonts w:ascii="Calibri" w:hAnsi="Calibri" w:eastAsia="宋体" w:cs="宋体"/>
                            <w:kern w:val="0"/>
                            <w:sz w:val="20"/>
                            <w:szCs w:val="20"/>
                          </w:rPr>
                          <w:t>2019</w:t>
                        </w:r>
                        <w:r>
                          <w:rPr>
                            <w:rFonts w:hint="eastAsia" w:ascii="宋体" w:hAnsi="宋体" w:eastAsia="宋体" w:cs="宋体"/>
                            <w:kern w:val="0"/>
                            <w:sz w:val="20"/>
                            <w:szCs w:val="20"/>
                          </w:rPr>
                          <w:t>年）</w:t>
                        </w:r>
                      </w:p>
                    </w:tc>
                  </w:tr>
                  <w:tr>
                    <w:tblPrEx>
                      <w:tblLayout w:type="fixed"/>
                      <w:tblCellMar>
                        <w:top w:w="0" w:type="dxa"/>
                        <w:left w:w="0" w:type="dxa"/>
                        <w:bottom w:w="0" w:type="dxa"/>
                        <w:right w:w="0" w:type="dxa"/>
                      </w:tblCellMar>
                    </w:tblPrEx>
                    <w:tc>
                      <w:tcPr>
                        <w:tcW w:w="1128" w:type="dxa"/>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709" w:type="dxa"/>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760" w:type="dxa"/>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33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在总结金融业综合统计基础数据归集平台建设经验的基础上，以金融统计标准为先导，以信息安全为基石，综合运用大数据等现代信息技术手段，加快建设先进、完备的国家金融基础数据库，完善与金融业综合统计相适应的数据架构和生产、应用系统，实现对基础数据源、汇总指标与统计报表的多层级数据逻辑对应关系审核，并提供数据查询、报表生产、数据挖掘与分析服务，多方位实现统计数据的有效共享。</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人民银行牵头，金融监督管理部门、国家外汇局配合。</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中期</w:t>
                        </w:r>
                      </w:p>
                      <w:p>
                        <w:pPr>
                          <w:widowControl/>
                          <w:rPr>
                            <w:rFonts w:ascii="Calibri" w:hAnsi="Calibri" w:eastAsia="宋体" w:cs="宋体"/>
                            <w:kern w:val="0"/>
                            <w:szCs w:val="21"/>
                          </w:rPr>
                        </w:pPr>
                        <w:r>
                          <w:rPr>
                            <w:rFonts w:hint="eastAsia" w:ascii="宋体" w:hAnsi="宋体" w:eastAsia="宋体" w:cs="宋体"/>
                            <w:kern w:val="0"/>
                            <w:sz w:val="20"/>
                            <w:szCs w:val="20"/>
                          </w:rPr>
                          <w:t>（</w:t>
                        </w:r>
                        <w:r>
                          <w:rPr>
                            <w:rFonts w:ascii="Calibri" w:hAnsi="Calibri" w:eastAsia="宋体" w:cs="宋体"/>
                            <w:kern w:val="0"/>
                            <w:sz w:val="20"/>
                            <w:szCs w:val="20"/>
                          </w:rPr>
                          <w:t>2020</w:t>
                        </w:r>
                        <w:r>
                          <w:rPr>
                            <w:rFonts w:hint="eastAsia" w:ascii="宋体" w:hAnsi="宋体" w:eastAsia="宋体" w:cs="宋体"/>
                            <w:kern w:val="0"/>
                            <w:sz w:val="20"/>
                            <w:szCs w:val="20"/>
                          </w:rPr>
                          <w:t>—</w:t>
                        </w:r>
                        <w:r>
                          <w:rPr>
                            <w:rFonts w:ascii="Calibri" w:hAnsi="Calibri" w:eastAsia="宋体" w:cs="宋体"/>
                            <w:kern w:val="0"/>
                            <w:sz w:val="20"/>
                            <w:szCs w:val="20"/>
                          </w:rPr>
                          <w:t>2022</w:t>
                        </w:r>
                        <w:r>
                          <w:rPr>
                            <w:rFonts w:hint="eastAsia" w:ascii="宋体" w:hAnsi="宋体" w:eastAsia="宋体" w:cs="宋体"/>
                            <w:kern w:val="0"/>
                            <w:sz w:val="20"/>
                            <w:szCs w:val="20"/>
                          </w:rPr>
                          <w:t>年）</w:t>
                        </w:r>
                      </w:p>
                    </w:tc>
                  </w:tr>
                  <w:tr>
                    <w:tblPrEx>
                      <w:tblLayout w:type="fixed"/>
                      <w:tblCellMar>
                        <w:top w:w="0" w:type="dxa"/>
                        <w:left w:w="0" w:type="dxa"/>
                        <w:bottom w:w="0" w:type="dxa"/>
                        <w:right w:w="0" w:type="dxa"/>
                      </w:tblCellMar>
                    </w:tblPrEx>
                    <w:tc>
                      <w:tcPr>
                        <w:tcW w:w="112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主要任务</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 w:val="20"/>
                            <w:szCs w:val="20"/>
                          </w:rPr>
                          <w:t>3</w:t>
                        </w:r>
                      </w:p>
                    </w:tc>
                    <w:tc>
                      <w:tcPr>
                        <w:tcW w:w="1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建立交叉性金融产品统计，有效统计监测跨行业、跨市场、跨部门金融活动。</w:t>
                        </w:r>
                      </w:p>
                    </w:tc>
                    <w:tc>
                      <w:tcPr>
                        <w:tcW w:w="33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制定和落实金融机构资产管理产品统计制度，有效统计资产管理产品规模、关联性、进入实体经济和金融市场的资金结构、杠杆率、收益率和期限结构等重要监测指标，全面有效监测银行业、证券业、保险业金融机构资产管理产品，反映产品之间的关联性、发现金融风险的传染性、实现资金链条的穿透性。过渡期按照数据报送模板采集数据，建立资产管理产品统计信息系统，最终实现逐个产品常规直报。在资产管理产品统计基础上，制定交叉性金融产品统计制度，扩展交叉性金融产品统计监测，识别风险传染渠道。</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人民银行牵头，金融监督管理部门、国家外汇局配合。</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近期</w:t>
                        </w:r>
                      </w:p>
                      <w:p>
                        <w:pPr>
                          <w:widowControl/>
                          <w:rPr>
                            <w:rFonts w:ascii="Calibri" w:hAnsi="Calibri" w:eastAsia="宋体" w:cs="宋体"/>
                            <w:kern w:val="0"/>
                            <w:szCs w:val="21"/>
                          </w:rPr>
                        </w:pPr>
                        <w:r>
                          <w:rPr>
                            <w:rFonts w:hint="eastAsia" w:ascii="宋体" w:hAnsi="宋体" w:eastAsia="宋体" w:cs="宋体"/>
                            <w:kern w:val="0"/>
                            <w:sz w:val="20"/>
                            <w:szCs w:val="20"/>
                          </w:rPr>
                          <w:t>（</w:t>
                        </w:r>
                        <w:r>
                          <w:rPr>
                            <w:rFonts w:ascii="Calibri" w:hAnsi="Calibri" w:eastAsia="宋体" w:cs="宋体"/>
                            <w:kern w:val="0"/>
                            <w:sz w:val="20"/>
                            <w:szCs w:val="20"/>
                          </w:rPr>
                          <w:t>2018</w:t>
                        </w:r>
                        <w:r>
                          <w:rPr>
                            <w:rFonts w:hint="eastAsia" w:ascii="宋体" w:hAnsi="宋体" w:eastAsia="宋体" w:cs="宋体"/>
                            <w:kern w:val="0"/>
                            <w:sz w:val="20"/>
                            <w:szCs w:val="20"/>
                          </w:rPr>
                          <w:t>—</w:t>
                        </w:r>
                        <w:r>
                          <w:rPr>
                            <w:rFonts w:ascii="Calibri" w:hAnsi="Calibri" w:eastAsia="宋体" w:cs="宋体"/>
                            <w:kern w:val="0"/>
                            <w:sz w:val="20"/>
                            <w:szCs w:val="20"/>
                          </w:rPr>
                          <w:t>2019</w:t>
                        </w:r>
                        <w:r>
                          <w:rPr>
                            <w:rFonts w:hint="eastAsia" w:ascii="宋体" w:hAnsi="宋体" w:eastAsia="宋体" w:cs="宋体"/>
                            <w:kern w:val="0"/>
                            <w:sz w:val="20"/>
                            <w:szCs w:val="20"/>
                          </w:rPr>
                          <w:t>年）</w:t>
                        </w:r>
                      </w:p>
                    </w:tc>
                  </w:tr>
                  <w:tr>
                    <w:tblPrEx>
                      <w:tblLayout w:type="fixed"/>
                      <w:tblCellMar>
                        <w:top w:w="0" w:type="dxa"/>
                        <w:left w:w="0" w:type="dxa"/>
                        <w:bottom w:w="0" w:type="dxa"/>
                        <w:right w:w="0" w:type="dxa"/>
                      </w:tblCellMar>
                    </w:tblPrEx>
                    <w:tc>
                      <w:tcPr>
                        <w:tcW w:w="1128" w:type="dxa"/>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 w:val="20"/>
                            <w:szCs w:val="20"/>
                          </w:rPr>
                          <w:t>4</w:t>
                        </w:r>
                      </w:p>
                    </w:tc>
                    <w:tc>
                      <w:tcPr>
                        <w:tcW w:w="1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建立系统重要性金融机构统计，及时发现风险传导节点和重大风险隐患。</w:t>
                        </w:r>
                      </w:p>
                    </w:tc>
                    <w:tc>
                      <w:tcPr>
                        <w:tcW w:w="33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制定银行业、证券业、保险业系统重要性金融机构统计制度，建立“机构对机构”交易对手统计模板，重点统计系统重要性金融机构之间、内部机构之间、内部机构与外部机构之间的交易和风险，丰富国别、币种、剩余期限等内容信息，强化对系统重要性金融机构从事的证券交易、衍生品交易的统计。建立系统重要性金融机构统计监测系统，全方位统计监测系统重要性金融机构的金融活动，全面掌握系统重要性金融机构对金融体系的影响程度。</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人民银行牵头，金融监督管理部门、国家外汇局配合。</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近期</w:t>
                        </w:r>
                      </w:p>
                      <w:p>
                        <w:pPr>
                          <w:widowControl/>
                          <w:rPr>
                            <w:rFonts w:ascii="Calibri" w:hAnsi="Calibri" w:eastAsia="宋体" w:cs="宋体"/>
                            <w:kern w:val="0"/>
                            <w:szCs w:val="21"/>
                          </w:rPr>
                        </w:pPr>
                        <w:r>
                          <w:rPr>
                            <w:rFonts w:hint="eastAsia" w:ascii="宋体" w:hAnsi="宋体" w:eastAsia="宋体" w:cs="宋体"/>
                            <w:kern w:val="0"/>
                            <w:sz w:val="20"/>
                            <w:szCs w:val="20"/>
                          </w:rPr>
                          <w:t>（</w:t>
                        </w:r>
                        <w:r>
                          <w:rPr>
                            <w:rFonts w:ascii="Calibri" w:hAnsi="Calibri" w:eastAsia="宋体" w:cs="宋体"/>
                            <w:kern w:val="0"/>
                            <w:sz w:val="20"/>
                            <w:szCs w:val="20"/>
                          </w:rPr>
                          <w:t>2018</w:t>
                        </w:r>
                        <w:r>
                          <w:rPr>
                            <w:rFonts w:hint="eastAsia" w:ascii="宋体" w:hAnsi="宋体" w:eastAsia="宋体" w:cs="宋体"/>
                            <w:kern w:val="0"/>
                            <w:sz w:val="20"/>
                            <w:szCs w:val="20"/>
                          </w:rPr>
                          <w:t>—</w:t>
                        </w:r>
                        <w:r>
                          <w:rPr>
                            <w:rFonts w:ascii="Calibri" w:hAnsi="Calibri" w:eastAsia="宋体" w:cs="宋体"/>
                            <w:kern w:val="0"/>
                            <w:sz w:val="20"/>
                            <w:szCs w:val="20"/>
                          </w:rPr>
                          <w:t>2019</w:t>
                        </w:r>
                        <w:r>
                          <w:rPr>
                            <w:rFonts w:hint="eastAsia" w:ascii="宋体" w:hAnsi="宋体" w:eastAsia="宋体" w:cs="宋体"/>
                            <w:kern w:val="0"/>
                            <w:sz w:val="20"/>
                            <w:szCs w:val="20"/>
                          </w:rPr>
                          <w:t>年）</w:t>
                        </w:r>
                      </w:p>
                    </w:tc>
                  </w:tr>
                  <w:tr>
                    <w:tblPrEx>
                      <w:tblLayout w:type="fixed"/>
                      <w:tblCellMar>
                        <w:top w:w="0" w:type="dxa"/>
                        <w:left w:w="0" w:type="dxa"/>
                        <w:bottom w:w="0" w:type="dxa"/>
                        <w:right w:w="0" w:type="dxa"/>
                      </w:tblCellMar>
                    </w:tblPrEx>
                    <w:tc>
                      <w:tcPr>
                        <w:tcW w:w="1128" w:type="dxa"/>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 w:val="20"/>
                            <w:szCs w:val="20"/>
                          </w:rPr>
                          <w:t>5</w:t>
                        </w:r>
                      </w:p>
                    </w:tc>
                    <w:tc>
                      <w:tcPr>
                        <w:tcW w:w="1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建立金融控股公司等金融集团统计，支持内部关联交易判断和外部风险传染识别。</w:t>
                        </w:r>
                      </w:p>
                    </w:tc>
                    <w:tc>
                      <w:tcPr>
                        <w:tcW w:w="33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制定金融控股公司等金融集团统计制度，建立金融控股公司等金融集团统计监测系统。全面统计金融控股公司等金融集团的股权关系，穿透至实际控制人、最终受益人。统计金融集团公司与子公司、各子公司之间的金融活动，以反映金融集团内部关联交易及风险。建立多维度、多层次并表口径的资产负债表，开展并表统计监测，充分反映金融集团整体层面的资本充足、流动性、风险等状况，并识别外部风险传染路径。</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人民银行牵头，金融监督管理部门、国家外汇局配合。</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近期</w:t>
                        </w:r>
                      </w:p>
                      <w:p>
                        <w:pPr>
                          <w:widowControl/>
                          <w:rPr>
                            <w:rFonts w:ascii="Calibri" w:hAnsi="Calibri" w:eastAsia="宋体" w:cs="宋体"/>
                            <w:kern w:val="0"/>
                            <w:szCs w:val="21"/>
                          </w:rPr>
                        </w:pPr>
                        <w:r>
                          <w:rPr>
                            <w:rFonts w:hint="eastAsia" w:ascii="宋体" w:hAnsi="宋体" w:eastAsia="宋体" w:cs="宋体"/>
                            <w:kern w:val="0"/>
                            <w:sz w:val="20"/>
                            <w:szCs w:val="20"/>
                          </w:rPr>
                          <w:t>（</w:t>
                        </w:r>
                        <w:r>
                          <w:rPr>
                            <w:rFonts w:ascii="Calibri" w:hAnsi="Calibri" w:eastAsia="宋体" w:cs="宋体"/>
                            <w:kern w:val="0"/>
                            <w:sz w:val="20"/>
                            <w:szCs w:val="20"/>
                          </w:rPr>
                          <w:t>2018</w:t>
                        </w:r>
                        <w:r>
                          <w:rPr>
                            <w:rFonts w:hint="eastAsia" w:ascii="宋体" w:hAnsi="宋体" w:eastAsia="宋体" w:cs="宋体"/>
                            <w:kern w:val="0"/>
                            <w:sz w:val="20"/>
                            <w:szCs w:val="20"/>
                          </w:rPr>
                          <w:t>—</w:t>
                        </w:r>
                        <w:r>
                          <w:rPr>
                            <w:rFonts w:ascii="Calibri" w:hAnsi="Calibri" w:eastAsia="宋体" w:cs="宋体"/>
                            <w:kern w:val="0"/>
                            <w:sz w:val="20"/>
                            <w:szCs w:val="20"/>
                          </w:rPr>
                          <w:t>2019</w:t>
                        </w:r>
                        <w:r>
                          <w:rPr>
                            <w:rFonts w:hint="eastAsia" w:ascii="宋体" w:hAnsi="宋体" w:eastAsia="宋体" w:cs="宋体"/>
                            <w:kern w:val="0"/>
                            <w:sz w:val="20"/>
                            <w:szCs w:val="20"/>
                          </w:rPr>
                          <w:t>年）</w:t>
                        </w:r>
                      </w:p>
                    </w:tc>
                  </w:tr>
                  <w:tr>
                    <w:tblPrEx>
                      <w:tblLayout w:type="fixed"/>
                      <w:tblCellMar>
                        <w:top w:w="0" w:type="dxa"/>
                        <w:left w:w="0" w:type="dxa"/>
                        <w:bottom w:w="0" w:type="dxa"/>
                        <w:right w:w="0" w:type="dxa"/>
                      </w:tblCellMar>
                    </w:tblPrEx>
                    <w:tc>
                      <w:tcPr>
                        <w:tcW w:w="1128" w:type="dxa"/>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 w:val="20"/>
                            <w:szCs w:val="20"/>
                          </w:rPr>
                          <w:t>6</w:t>
                        </w:r>
                      </w:p>
                    </w:tc>
                    <w:tc>
                      <w:tcPr>
                        <w:tcW w:w="1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编制金融业资产负债表，完善金融资金流量、存量统计，强化宏观杠杆率监测基础。</w:t>
                        </w:r>
                      </w:p>
                    </w:tc>
                    <w:tc>
                      <w:tcPr>
                        <w:tcW w:w="33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依据金融业综合统计基础标准制定银行业、证券业、保险业金融机构及特定目的载体统一分类的资产负债统计指标体系，以金融工具和交易对手方所属经济部门为核心分类，深化指标层级，并建立银行业、证券业、保险业金融机构统计指标与资产负债统计指标体系的对应关系。按照该指标体系统一采集全部金融机构的资产负债数据，编制统一的金融业资产负债表，实现全方位的金融业资产负债统计，摸清金融业家底；完善反映国民经济各部门金融活动的资金流量和存量统计，做好与国民账户的衔接与配合工作；在此基础上完善对宏观杠杆率的统计测算。</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人民银行牵头，国家统计局、金融监督管理部门、国家外汇局配合。</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近期</w:t>
                        </w:r>
                      </w:p>
                      <w:p>
                        <w:pPr>
                          <w:widowControl/>
                          <w:rPr>
                            <w:rFonts w:ascii="Calibri" w:hAnsi="Calibri" w:eastAsia="宋体" w:cs="宋体"/>
                            <w:kern w:val="0"/>
                            <w:szCs w:val="21"/>
                          </w:rPr>
                        </w:pPr>
                        <w:r>
                          <w:rPr>
                            <w:rFonts w:hint="eastAsia" w:ascii="宋体" w:hAnsi="宋体" w:eastAsia="宋体" w:cs="宋体"/>
                            <w:kern w:val="0"/>
                            <w:sz w:val="20"/>
                            <w:szCs w:val="20"/>
                          </w:rPr>
                          <w:t>（</w:t>
                        </w:r>
                        <w:r>
                          <w:rPr>
                            <w:rFonts w:ascii="Calibri" w:hAnsi="Calibri" w:eastAsia="宋体" w:cs="宋体"/>
                            <w:kern w:val="0"/>
                            <w:sz w:val="20"/>
                            <w:szCs w:val="20"/>
                          </w:rPr>
                          <w:t>2018</w:t>
                        </w:r>
                        <w:r>
                          <w:rPr>
                            <w:rFonts w:hint="eastAsia" w:ascii="宋体" w:hAnsi="宋体" w:eastAsia="宋体" w:cs="宋体"/>
                            <w:kern w:val="0"/>
                            <w:sz w:val="20"/>
                            <w:szCs w:val="20"/>
                          </w:rPr>
                          <w:t>—</w:t>
                        </w:r>
                      </w:p>
                      <w:p>
                        <w:pPr>
                          <w:widowControl/>
                          <w:rPr>
                            <w:rFonts w:ascii="Calibri" w:hAnsi="Calibri" w:eastAsia="宋体" w:cs="宋体"/>
                            <w:kern w:val="0"/>
                            <w:szCs w:val="21"/>
                          </w:rPr>
                        </w:pPr>
                        <w:r>
                          <w:rPr>
                            <w:rFonts w:ascii="Calibri" w:hAnsi="Calibri" w:eastAsia="宋体" w:cs="宋体"/>
                            <w:kern w:val="0"/>
                            <w:sz w:val="20"/>
                            <w:szCs w:val="20"/>
                          </w:rPr>
                          <w:t>2019</w:t>
                        </w:r>
                        <w:r>
                          <w:rPr>
                            <w:rFonts w:hint="eastAsia" w:ascii="宋体" w:hAnsi="宋体" w:eastAsia="宋体" w:cs="宋体"/>
                            <w:kern w:val="0"/>
                            <w:sz w:val="20"/>
                            <w:szCs w:val="20"/>
                          </w:rPr>
                          <w:t>年）</w:t>
                        </w:r>
                      </w:p>
                    </w:tc>
                  </w:tr>
                  <w:tr>
                    <w:tblPrEx>
                      <w:tblLayout w:type="fixed"/>
                      <w:tblCellMar>
                        <w:top w:w="0" w:type="dxa"/>
                        <w:left w:w="0" w:type="dxa"/>
                        <w:bottom w:w="0" w:type="dxa"/>
                        <w:right w:w="0" w:type="dxa"/>
                      </w:tblCellMar>
                    </w:tblPrEx>
                    <w:tc>
                      <w:tcPr>
                        <w:tcW w:w="1128" w:type="dxa"/>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70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 w:val="20"/>
                            <w:szCs w:val="20"/>
                          </w:rPr>
                          <w:t>7</w:t>
                        </w:r>
                      </w:p>
                    </w:tc>
                    <w:tc>
                      <w:tcPr>
                        <w:tcW w:w="176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完善货币信贷统计，加强对宏观调控和信贷政策的支持。</w:t>
                        </w:r>
                      </w:p>
                    </w:tc>
                    <w:tc>
                      <w:tcPr>
                        <w:tcW w:w="33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与时俱进完善货币信贷统计制度与宏观调控总量指标，完善货币政策传导和流动性创造过程的统计监测，促进宏观调控、经济结构调整和转型升级。</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人民银行负责。</w:t>
                        </w:r>
                      </w:p>
                    </w:tc>
                    <w:tc>
                      <w:tcPr>
                        <w:tcW w:w="99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近期</w:t>
                        </w:r>
                      </w:p>
                      <w:p>
                        <w:pPr>
                          <w:widowControl/>
                          <w:rPr>
                            <w:rFonts w:ascii="Calibri" w:hAnsi="Calibri" w:eastAsia="宋体" w:cs="宋体"/>
                            <w:kern w:val="0"/>
                            <w:szCs w:val="21"/>
                          </w:rPr>
                        </w:pPr>
                        <w:r>
                          <w:rPr>
                            <w:rFonts w:hint="eastAsia" w:ascii="宋体" w:hAnsi="宋体" w:eastAsia="宋体" w:cs="宋体"/>
                            <w:kern w:val="0"/>
                            <w:sz w:val="20"/>
                            <w:szCs w:val="20"/>
                          </w:rPr>
                          <w:t>（</w:t>
                        </w:r>
                        <w:r>
                          <w:rPr>
                            <w:rFonts w:ascii="Calibri" w:hAnsi="Calibri" w:eastAsia="宋体" w:cs="宋体"/>
                            <w:kern w:val="0"/>
                            <w:sz w:val="20"/>
                            <w:szCs w:val="20"/>
                          </w:rPr>
                          <w:t>2018</w:t>
                        </w:r>
                        <w:r>
                          <w:rPr>
                            <w:rFonts w:hint="eastAsia" w:ascii="宋体" w:hAnsi="宋体" w:eastAsia="宋体" w:cs="宋体"/>
                            <w:kern w:val="0"/>
                            <w:sz w:val="20"/>
                            <w:szCs w:val="20"/>
                          </w:rPr>
                          <w:t>—</w:t>
                        </w:r>
                        <w:r>
                          <w:rPr>
                            <w:rFonts w:ascii="Calibri" w:hAnsi="Calibri" w:eastAsia="宋体" w:cs="宋体"/>
                            <w:kern w:val="0"/>
                            <w:sz w:val="20"/>
                            <w:szCs w:val="20"/>
                          </w:rPr>
                          <w:t>2019</w:t>
                        </w:r>
                        <w:r>
                          <w:rPr>
                            <w:rFonts w:hint="eastAsia" w:ascii="宋体" w:hAnsi="宋体" w:eastAsia="宋体" w:cs="宋体"/>
                            <w:kern w:val="0"/>
                            <w:sz w:val="20"/>
                            <w:szCs w:val="20"/>
                          </w:rPr>
                          <w:t>年）</w:t>
                        </w:r>
                      </w:p>
                      <w:p>
                        <w:pPr>
                          <w:widowControl/>
                          <w:rPr>
                            <w:rFonts w:ascii="Calibri" w:hAnsi="Calibri" w:eastAsia="宋体" w:cs="宋体"/>
                            <w:kern w:val="0"/>
                            <w:szCs w:val="21"/>
                          </w:rPr>
                        </w:pPr>
                        <w:r>
                          <w:rPr>
                            <w:rFonts w:ascii="Calibri" w:hAnsi="Calibri" w:eastAsia="宋体" w:cs="宋体"/>
                            <w:kern w:val="0"/>
                            <w:sz w:val="20"/>
                            <w:szCs w:val="20"/>
                          </w:rPr>
                          <w:t> </w:t>
                        </w:r>
                      </w:p>
                    </w:tc>
                  </w:tr>
                  <w:tr>
                    <w:tblPrEx>
                      <w:tblLayout w:type="fixed"/>
                      <w:tblCellMar>
                        <w:top w:w="0" w:type="dxa"/>
                        <w:left w:w="0" w:type="dxa"/>
                        <w:bottom w:w="0" w:type="dxa"/>
                        <w:right w:w="0" w:type="dxa"/>
                      </w:tblCellMar>
                    </w:tblPrEx>
                    <w:tc>
                      <w:tcPr>
                        <w:tcW w:w="1128" w:type="dxa"/>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709" w:type="dxa"/>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760" w:type="dxa"/>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33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编制普惠金融、绿色金融等重点领域的信贷政策统计数据，反映金融体系对国民经济重点领域和薄弱环节的信贷政策执行效果和支持力度。</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人民银行牵头，金融监督管理部门配合。</w:t>
                        </w:r>
                      </w:p>
                    </w:tc>
                    <w:tc>
                      <w:tcPr>
                        <w:tcW w:w="998" w:type="dxa"/>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r>
                  <w:tr>
                    <w:tblPrEx>
                      <w:tblLayout w:type="fixed"/>
                      <w:tblCellMar>
                        <w:top w:w="0" w:type="dxa"/>
                        <w:left w:w="0" w:type="dxa"/>
                        <w:bottom w:w="0" w:type="dxa"/>
                        <w:right w:w="0" w:type="dxa"/>
                      </w:tblCellMar>
                    </w:tblPrEx>
                    <w:tc>
                      <w:tcPr>
                        <w:tcW w:w="1128" w:type="dxa"/>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 w:val="20"/>
                            <w:szCs w:val="20"/>
                          </w:rPr>
                          <w:t>8</w:t>
                        </w:r>
                      </w:p>
                    </w:tc>
                    <w:tc>
                      <w:tcPr>
                        <w:tcW w:w="1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以金融基础设施为依托完善金融市场统计，为金融市场风险评估提供支撑。</w:t>
                        </w:r>
                      </w:p>
                    </w:tc>
                    <w:tc>
                      <w:tcPr>
                        <w:tcW w:w="33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完善债券市场、货币市场、外汇市场、黄金市场统计，覆盖上述各类现货市场及其对应的衍生品市场。以金融业综合统计基础标准为抓手，以服务相关市场的金融基础设施为依托，实现上述市场统计信息的统一归集和互联互通。股票市场统计标准与金融业综合统计基础标准相对标，实现对股票市场与其他市场数据主要关系的关联监测。现阶段，以债券市场统计为主要推进领域，完善债券统计制度，统计范围覆盖银行间市场、交易所市场、商业银行柜台及其他场所发行以及境内机构在境外发行的债务证券；统一债券统计分类、接口规范和报送规则，统计债券市场交易品种、交易工具、交易对手、交易价格等维度信息，覆盖债券现货市场与期货市场，并实现与金融机构统计、金融产品统计的有效关联。</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人民银行牵头，金融监督管理部门、国家外汇局配合。</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近期</w:t>
                        </w:r>
                      </w:p>
                      <w:p>
                        <w:pPr>
                          <w:widowControl/>
                          <w:rPr>
                            <w:rFonts w:ascii="Calibri" w:hAnsi="Calibri" w:eastAsia="宋体" w:cs="宋体"/>
                            <w:kern w:val="0"/>
                            <w:szCs w:val="21"/>
                          </w:rPr>
                        </w:pPr>
                        <w:r>
                          <w:rPr>
                            <w:rFonts w:hint="eastAsia" w:ascii="宋体" w:hAnsi="宋体" w:eastAsia="宋体" w:cs="宋体"/>
                            <w:kern w:val="0"/>
                            <w:sz w:val="20"/>
                            <w:szCs w:val="20"/>
                          </w:rPr>
                          <w:t>（</w:t>
                        </w:r>
                        <w:r>
                          <w:rPr>
                            <w:rFonts w:ascii="Calibri" w:hAnsi="Calibri" w:eastAsia="宋体" w:cs="宋体"/>
                            <w:kern w:val="0"/>
                            <w:sz w:val="20"/>
                            <w:szCs w:val="20"/>
                          </w:rPr>
                          <w:t>2018</w:t>
                        </w:r>
                        <w:r>
                          <w:rPr>
                            <w:rFonts w:hint="eastAsia" w:ascii="宋体" w:hAnsi="宋体" w:eastAsia="宋体" w:cs="宋体"/>
                            <w:kern w:val="0"/>
                            <w:sz w:val="20"/>
                            <w:szCs w:val="20"/>
                          </w:rPr>
                          <w:t>—</w:t>
                        </w:r>
                        <w:r>
                          <w:rPr>
                            <w:rFonts w:ascii="Calibri" w:hAnsi="Calibri" w:eastAsia="宋体" w:cs="宋体"/>
                            <w:kern w:val="0"/>
                            <w:sz w:val="20"/>
                            <w:szCs w:val="20"/>
                          </w:rPr>
                          <w:t>2019</w:t>
                        </w:r>
                        <w:r>
                          <w:rPr>
                            <w:rFonts w:hint="eastAsia" w:ascii="宋体" w:hAnsi="宋体" w:eastAsia="宋体" w:cs="宋体"/>
                            <w:kern w:val="0"/>
                            <w:sz w:val="20"/>
                            <w:szCs w:val="20"/>
                          </w:rPr>
                          <w:t>年）</w:t>
                        </w:r>
                      </w:p>
                      <w:p>
                        <w:pPr>
                          <w:widowControl/>
                          <w:rPr>
                            <w:rFonts w:ascii="Calibri" w:hAnsi="Calibri" w:eastAsia="宋体" w:cs="宋体"/>
                            <w:kern w:val="0"/>
                            <w:szCs w:val="21"/>
                          </w:rPr>
                        </w:pPr>
                        <w:r>
                          <w:rPr>
                            <w:rFonts w:ascii="Calibri" w:hAnsi="Calibri" w:eastAsia="宋体" w:cs="宋体"/>
                            <w:kern w:val="0"/>
                            <w:sz w:val="20"/>
                            <w:szCs w:val="20"/>
                          </w:rPr>
                          <w:t> </w:t>
                        </w:r>
                      </w:p>
                    </w:tc>
                  </w:tr>
                  <w:tr>
                    <w:tblPrEx>
                      <w:tblLayout w:type="fixed"/>
                      <w:tblCellMar>
                        <w:top w:w="0" w:type="dxa"/>
                        <w:left w:w="0" w:type="dxa"/>
                        <w:bottom w:w="0" w:type="dxa"/>
                        <w:right w:w="0" w:type="dxa"/>
                      </w:tblCellMar>
                    </w:tblPrEx>
                    <w:tc>
                      <w:tcPr>
                        <w:tcW w:w="1128" w:type="dxa"/>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 w:val="20"/>
                            <w:szCs w:val="20"/>
                          </w:rPr>
                          <w:t>9</w:t>
                        </w:r>
                      </w:p>
                    </w:tc>
                    <w:tc>
                      <w:tcPr>
                        <w:tcW w:w="1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开展对地方金融管理部门监管的地方金融组织统计、互联网金融机构统计等，填补统计空白。</w:t>
                        </w:r>
                      </w:p>
                    </w:tc>
                    <w:tc>
                      <w:tcPr>
                        <w:tcW w:w="33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人民银行会同相关管理部门制定小额贷款公司、融资担保公司、区域性股权市场、典当行、融资租赁公司、商业保理公司、地方资产管理公司、互联网金融机构等的统计制度，指导地方金融管理部门开展其监管的地方金融组织统计，建立中央与地方之间的金融信息共享机制。</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人民银行牵头，金融监督管理部门、国家外汇局、地方金融管理部门配合。</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中期</w:t>
                        </w:r>
                        <w:r>
                          <w:rPr>
                            <w:rFonts w:ascii="Calibri" w:hAnsi="Calibri" w:eastAsia="宋体" w:cs="宋体"/>
                            <w:kern w:val="0"/>
                            <w:sz w:val="20"/>
                            <w:szCs w:val="20"/>
                          </w:rPr>
                          <w:br w:type="textWrapping"/>
                        </w:r>
                        <w:r>
                          <w:rPr>
                            <w:rFonts w:hint="eastAsia" w:ascii="宋体" w:hAnsi="宋体" w:eastAsia="宋体" w:cs="宋体"/>
                            <w:kern w:val="0"/>
                            <w:sz w:val="20"/>
                            <w:szCs w:val="20"/>
                          </w:rPr>
                          <w:t>（</w:t>
                        </w:r>
                        <w:r>
                          <w:rPr>
                            <w:rFonts w:ascii="Calibri" w:hAnsi="Calibri" w:eastAsia="宋体" w:cs="宋体"/>
                            <w:kern w:val="0"/>
                            <w:sz w:val="20"/>
                            <w:szCs w:val="20"/>
                          </w:rPr>
                          <w:t>2020</w:t>
                        </w:r>
                        <w:r>
                          <w:rPr>
                            <w:rFonts w:hint="eastAsia" w:ascii="宋体" w:hAnsi="宋体" w:eastAsia="宋体" w:cs="宋体"/>
                            <w:kern w:val="0"/>
                            <w:sz w:val="20"/>
                            <w:szCs w:val="20"/>
                          </w:rPr>
                          <w:t>—</w:t>
                        </w:r>
                        <w:r>
                          <w:rPr>
                            <w:rFonts w:ascii="Calibri" w:hAnsi="Calibri" w:eastAsia="宋体" w:cs="宋体"/>
                            <w:kern w:val="0"/>
                            <w:sz w:val="20"/>
                            <w:szCs w:val="20"/>
                          </w:rPr>
                          <w:t>2022</w:t>
                        </w:r>
                        <w:r>
                          <w:rPr>
                            <w:rFonts w:hint="eastAsia" w:ascii="宋体" w:hAnsi="宋体" w:eastAsia="宋体" w:cs="宋体"/>
                            <w:kern w:val="0"/>
                            <w:sz w:val="20"/>
                            <w:szCs w:val="20"/>
                          </w:rPr>
                          <w:t>年）</w:t>
                        </w:r>
                      </w:p>
                    </w:tc>
                  </w:tr>
                  <w:tr>
                    <w:tblPrEx>
                      <w:tblLayout w:type="fixed"/>
                      <w:tblCellMar>
                        <w:top w:w="0" w:type="dxa"/>
                        <w:left w:w="0" w:type="dxa"/>
                        <w:bottom w:w="0" w:type="dxa"/>
                        <w:right w:w="0" w:type="dxa"/>
                      </w:tblCellMar>
                    </w:tblPrEx>
                    <w:tc>
                      <w:tcPr>
                        <w:tcW w:w="112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保障措施</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 w:val="20"/>
                            <w:szCs w:val="20"/>
                          </w:rPr>
                          <w:t>10</w:t>
                        </w:r>
                      </w:p>
                    </w:tc>
                    <w:tc>
                      <w:tcPr>
                        <w:tcW w:w="1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加强组织领导，强化统筹协调。</w:t>
                        </w:r>
                      </w:p>
                    </w:tc>
                    <w:tc>
                      <w:tcPr>
                        <w:tcW w:w="33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人民银行统筹金融业综合统计工作，牵头成立统筹金融业综合统计管理工作小组，加强成员单位的协调配合。各相关单位按照任务分工落实责任，形成合力，共同推进。定期开展数据核查和质量评估，交流对经济金融形势的研判和风险识别，评估金融业综合统计相关标准和制度的科学性、有效性，评估数据共享效率和共享水平。</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人民银行牵头，财政部、国家统计局、金融监督管理部门、国家外汇局配合。</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持续推进</w:t>
                        </w:r>
                      </w:p>
                    </w:tc>
                  </w:tr>
                  <w:tr>
                    <w:tblPrEx>
                      <w:tblLayout w:type="fixed"/>
                      <w:tblCellMar>
                        <w:top w:w="0" w:type="dxa"/>
                        <w:left w:w="0" w:type="dxa"/>
                        <w:bottom w:w="0" w:type="dxa"/>
                        <w:right w:w="0" w:type="dxa"/>
                      </w:tblCellMar>
                    </w:tblPrEx>
                    <w:tc>
                      <w:tcPr>
                        <w:tcW w:w="1128" w:type="dxa"/>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70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 w:val="20"/>
                            <w:szCs w:val="20"/>
                          </w:rPr>
                          <w:t>11</w:t>
                        </w:r>
                      </w:p>
                    </w:tc>
                    <w:tc>
                      <w:tcPr>
                        <w:tcW w:w="176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加大资源投入，做好宣传培训。</w:t>
                        </w:r>
                      </w:p>
                    </w:tc>
                    <w:tc>
                      <w:tcPr>
                        <w:tcW w:w="33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充分调动组织、资金、人员等多方资源，切实加强建设、运营、维护和管理国家金融基础数据库的力量，综合运用现代信息技术，提供高效有力的金融统计数据服务。</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财政部、人民银行等部门按职责分工负责。</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持续推进</w:t>
                        </w:r>
                      </w:p>
                    </w:tc>
                  </w:tr>
                  <w:tr>
                    <w:tblPrEx>
                      <w:tblLayout w:type="fixed"/>
                      <w:tblCellMar>
                        <w:top w:w="0" w:type="dxa"/>
                        <w:left w:w="0" w:type="dxa"/>
                        <w:bottom w:w="0" w:type="dxa"/>
                        <w:right w:w="0" w:type="dxa"/>
                      </w:tblCellMar>
                    </w:tblPrEx>
                    <w:tc>
                      <w:tcPr>
                        <w:tcW w:w="1128" w:type="dxa"/>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709" w:type="dxa"/>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760" w:type="dxa"/>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33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加大金融统计从业人员培训力度，创新培训方式，拓宽培训渠道，扎实推进高层次人才队伍建设。坚持正确舆论导向，加强对标准化、规范化、综合化现代金融统计理念的宣传，营造良好统计生态环境。</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人民银行牵头，金融监督管理部门、国家外汇局配合。</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持续推进</w:t>
                        </w:r>
                      </w:p>
                    </w:tc>
                  </w:tr>
                  <w:tr>
                    <w:tblPrEx>
                      <w:tblLayout w:type="fixed"/>
                      <w:tblCellMar>
                        <w:top w:w="0" w:type="dxa"/>
                        <w:left w:w="0" w:type="dxa"/>
                        <w:bottom w:w="0" w:type="dxa"/>
                        <w:right w:w="0" w:type="dxa"/>
                      </w:tblCellMar>
                    </w:tblPrEx>
                    <w:tc>
                      <w:tcPr>
                        <w:tcW w:w="1128" w:type="dxa"/>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 w:val="20"/>
                            <w:szCs w:val="20"/>
                          </w:rPr>
                          <w:t>12</w:t>
                        </w:r>
                      </w:p>
                    </w:tc>
                    <w:tc>
                      <w:tcPr>
                        <w:tcW w:w="1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夯实法律基础，提供法治保障。</w:t>
                        </w:r>
                      </w:p>
                    </w:tc>
                    <w:tc>
                      <w:tcPr>
                        <w:tcW w:w="33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依法开展金融业综合统计工作，推动加快金融业综合统计立法，完善相关领域的法律法规体系。推动修订人民银行法、银行业监督管理法、证券法、保险法等相关法律，出台金融统计管理条例，明确金融管理部门和统计对象的权利义务，从拓宽统计领域、丰富统计内容、促进统计管理协同等方面重点提供法律支持和保障。增强相关法律法规之间的协同性，在拟出台的各项金融监管规制中明确监管对象报送金融业综合统计数据的义务。</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人民银行、金融监督管理部门、国家外汇局、司法部负责。</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 w:val="20"/>
                            <w:szCs w:val="20"/>
                          </w:rPr>
                          <w:t>持续推进</w:t>
                        </w:r>
                      </w:p>
                    </w:tc>
                  </w:tr>
                </w:tbl>
                <w:p>
                  <w:pPr>
                    <w:widowControl/>
                    <w:jc w:val="left"/>
                    <w:rPr>
                      <w:rFonts w:ascii="宋体" w:hAnsi="宋体" w:eastAsia="宋体" w:cs="宋体"/>
                      <w:kern w:val="0"/>
                      <w:sz w:val="24"/>
                      <w:szCs w:val="24"/>
                    </w:rPr>
                  </w:pPr>
                </w:p>
              </w:tc>
            </w:tr>
          </w:tbl>
          <w:p>
            <w:pPr>
              <w:widowControl/>
              <w:jc w:val="left"/>
              <w:rPr>
                <w:rFonts w:ascii="宋体" w:hAnsi="宋体" w:eastAsia="宋体" w:cs="宋体"/>
                <w:color w:val="333333"/>
                <w:kern w:val="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155"/>
    <w:rsid w:val="00193053"/>
    <w:rsid w:val="00477155"/>
    <w:rsid w:val="29191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1491</Words>
  <Characters>8505</Characters>
  <Lines>70</Lines>
  <Paragraphs>19</Paragraphs>
  <TotalTime>0</TotalTime>
  <ScaleCrop>false</ScaleCrop>
  <LinksUpToDate>false</LinksUpToDate>
  <CharactersWithSpaces>9977</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2018-04-10T00:39:00Z</dcterms:created>
  <dc:creator>lenovo</dc:creator>
  <cp:lastModifiedBy>lenovo</cp:lastModifiedBy>
  <dcterms:modified xsi:type="dcterms:W3CDTF">2018-04-10T01:44:55Z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