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Cs w:val="21"/>
        </w:rPr>
      </w:pPr>
      <w:bookmarkStart w:id="1" w:name="_GoBack"/>
      <w:bookmarkEnd w:id="1"/>
      <w:bookmarkStart w:id="0" w:name="_Hlk207568931"/>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Cs w:val="21"/>
        </w:rPr>
      </w:pPr>
    </w:p>
    <w:p>
      <w:pPr>
        <w:pStyle w:val="2"/>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rPr>
      </w:pPr>
    </w:p>
    <w:p>
      <w:pPr>
        <w:jc w:val="center"/>
        <w:rPr>
          <w:rFonts w:hint="default" w:ascii="Times New Roman" w:hAnsi="Times New Roman" w:cs="Times New Roman"/>
          <w:szCs w:val="21"/>
        </w:rPr>
      </w:pPr>
    </w:p>
    <w:p>
      <w:pPr>
        <w:pStyle w:val="2"/>
        <w:spacing w:line="560" w:lineRule="exact"/>
        <w:jc w:val="center"/>
        <w:rPr>
          <w:rFonts w:eastAsia="楷体_GB2312"/>
          <w:lang w:val="en-US" w:eastAsia="zh-Hans"/>
        </w:rPr>
      </w:pPr>
      <w:r>
        <w:rPr>
          <w:rFonts w:eastAsia="仿宋_GB2312"/>
          <w:sz w:val="32"/>
          <w:szCs w:val="32"/>
          <w:lang w:val="en-US" w:eastAsia="zh-Hans"/>
        </w:rPr>
        <w:t>湘金</w:t>
      </w:r>
      <w:r>
        <w:rPr>
          <w:rFonts w:hint="eastAsia" w:eastAsia="仿宋_GB2312"/>
          <w:sz w:val="32"/>
          <w:szCs w:val="32"/>
          <w:lang w:val="en-US" w:eastAsia="zh-Hans"/>
        </w:rPr>
        <w:t>办</w:t>
      </w:r>
      <w:r>
        <w:rPr>
          <w:rFonts w:eastAsia="仿宋_GB2312"/>
          <w:sz w:val="32"/>
          <w:szCs w:val="32"/>
          <w:lang w:val="en-US" w:eastAsia="zh-Hans"/>
        </w:rPr>
        <w:t>发</w:t>
      </w:r>
      <w:r>
        <w:rPr>
          <w:rFonts w:eastAsia="楷体_GB2312"/>
          <w:sz w:val="32"/>
          <w:szCs w:val="32"/>
          <w:lang w:val="en-US" w:eastAsia="zh-Hans"/>
        </w:rPr>
        <w:t>〔20</w:t>
      </w:r>
      <w:r>
        <w:rPr>
          <w:rFonts w:eastAsia="楷体_GB2312"/>
          <w:sz w:val="32"/>
          <w:szCs w:val="32"/>
          <w:lang w:eastAsia="zh-Hans"/>
        </w:rPr>
        <w:t>2</w:t>
      </w:r>
      <w:r>
        <w:rPr>
          <w:rFonts w:hint="eastAsia" w:eastAsia="楷体_GB2312"/>
          <w:sz w:val="32"/>
          <w:szCs w:val="32"/>
          <w:lang w:val="en-US"/>
        </w:rPr>
        <w:t>5</w:t>
      </w:r>
      <w:r>
        <w:rPr>
          <w:rFonts w:eastAsia="楷体_GB2312"/>
          <w:sz w:val="32"/>
          <w:szCs w:val="32"/>
          <w:lang w:val="en-US" w:eastAsia="zh-Hans"/>
        </w:rPr>
        <w:t>〕</w:t>
      </w:r>
      <w:r>
        <w:rPr>
          <w:rFonts w:hint="eastAsia" w:eastAsia="楷体_GB2312"/>
          <w:sz w:val="32"/>
          <w:szCs w:val="32"/>
          <w:lang w:val="en-US" w:eastAsia="zh-CN"/>
        </w:rPr>
        <w:t>40</w:t>
      </w:r>
      <w:r>
        <w:rPr>
          <w:rFonts w:hint="eastAsia" w:ascii="Times New Roman" w:hAnsi="Times New Roman" w:eastAsia="仿宋_GB2312" w:cs="Times New Roman"/>
          <w:sz w:val="32"/>
          <w:szCs w:val="32"/>
          <w:lang w:val="en-US" w:eastAsia="zh-Hans"/>
        </w:rPr>
        <w:t>号</w:t>
      </w:r>
    </w:p>
    <w:bookmarkEnd w:id="0"/>
    <w:p>
      <w:pPr>
        <w:spacing w:line="560" w:lineRule="exact"/>
        <w:jc w:val="center"/>
        <w:rPr>
          <w:rFonts w:ascii="Times New Roman" w:hAnsi="Times New Roman" w:eastAsia="方正小标宋简体"/>
          <w:sz w:val="44"/>
          <w:szCs w:val="44"/>
        </w:rPr>
      </w:pPr>
    </w:p>
    <w:p>
      <w:pPr>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中共湖南省委金融委员会办公室</w:t>
      </w:r>
    </w:p>
    <w:p>
      <w:pPr>
        <w:spacing w:line="560" w:lineRule="exact"/>
        <w:jc w:val="center"/>
        <w:rPr>
          <w:rFonts w:ascii="方正小标宋简体" w:hAnsi="方正小标宋简体" w:eastAsia="方正小标宋简体" w:cs="方正小标宋简体"/>
          <w:sz w:val="40"/>
          <w:szCs w:val="40"/>
          <w:lang w:eastAsia="zh-Hans"/>
        </w:rPr>
      </w:pPr>
      <w:r>
        <w:rPr>
          <w:rFonts w:hint="eastAsia" w:ascii="方正小标宋简体" w:hAnsi="方正小标宋简体" w:eastAsia="方正小标宋简体" w:cs="方正小标宋简体"/>
          <w:sz w:val="40"/>
          <w:szCs w:val="40"/>
        </w:rPr>
        <w:t>关于印发</w:t>
      </w:r>
      <w:r>
        <w:rPr>
          <w:rFonts w:ascii="方正小标宋简体" w:hAnsi="方正小标宋简体" w:eastAsia="方正小标宋简体" w:cs="方正小标宋简体"/>
          <w:sz w:val="40"/>
          <w:szCs w:val="40"/>
          <w:lang w:eastAsia="zh-Hans"/>
        </w:rPr>
        <w:t>《湖南省关于推动社会资本接力跟投</w:t>
      </w:r>
    </w:p>
    <w:p>
      <w:pPr>
        <w:spacing w:line="560" w:lineRule="exact"/>
        <w:jc w:val="center"/>
        <w:rPr>
          <w:rFonts w:ascii="Times New Roman" w:hAnsi="Times New Roman" w:eastAsia="方正小标宋简体"/>
          <w:sz w:val="44"/>
          <w:szCs w:val="44"/>
        </w:rPr>
      </w:pPr>
      <w:r>
        <w:rPr>
          <w:rFonts w:ascii="方正小标宋简体" w:hAnsi="方正小标宋简体" w:eastAsia="方正小标宋简体" w:cs="方正小标宋简体"/>
          <w:sz w:val="40"/>
          <w:szCs w:val="40"/>
          <w:lang w:eastAsia="zh-Hans"/>
        </w:rPr>
        <w:t>支持大学生创业的意见》</w:t>
      </w:r>
      <w:r>
        <w:rPr>
          <w:rFonts w:hint="eastAsia" w:ascii="方正小标宋简体" w:hAnsi="方正小标宋简体" w:eastAsia="方正小标宋简体" w:cs="方正小标宋简体"/>
          <w:sz w:val="40"/>
          <w:szCs w:val="40"/>
        </w:rPr>
        <w:t>的通知</w:t>
      </w:r>
    </w:p>
    <w:p>
      <w:pPr>
        <w:pStyle w:val="2"/>
        <w:spacing w:line="560" w:lineRule="exact"/>
        <w:rPr>
          <w:rFonts w:hint="eastAsia"/>
          <w:lang w:val="en-US" w:eastAsia="zh-Hans"/>
        </w:rPr>
      </w:pPr>
    </w:p>
    <w:p>
      <w:pPr>
        <w:spacing w:line="560" w:lineRule="exact"/>
        <w:rPr>
          <w:rFonts w:ascii="Times New Roman" w:hAnsi="Times New Roman" w:eastAsia="仿宋_GB2312"/>
          <w:sz w:val="32"/>
          <w:szCs w:val="32"/>
          <w:lang w:eastAsia="zh-Hans"/>
        </w:rPr>
      </w:pPr>
      <w:r>
        <w:rPr>
          <w:rFonts w:hint="eastAsia" w:ascii="Times New Roman" w:hAnsi="Times New Roman" w:eastAsia="仿宋_GB2312"/>
          <w:sz w:val="32"/>
          <w:szCs w:val="32"/>
          <w:lang w:eastAsia="zh-CN"/>
        </w:rPr>
        <w:t>长沙市委金融办、各市州政府办，各银行机构、保险公司、股权投资机构、融资担保机构，湖南股交所</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lang w:eastAsia="zh-Hans"/>
        </w:rPr>
      </w:pPr>
      <w:r>
        <w:rPr>
          <w:rFonts w:ascii="Times New Roman" w:hAnsi="Times New Roman" w:eastAsia="仿宋_GB2312"/>
          <w:sz w:val="32"/>
          <w:szCs w:val="32"/>
          <w:lang w:eastAsia="zh-Hans"/>
        </w:rPr>
        <w:t>根据</w:t>
      </w:r>
      <w:r>
        <w:rPr>
          <w:rFonts w:hint="eastAsia" w:ascii="Times New Roman" w:hAnsi="Times New Roman" w:eastAsia="仿宋_GB2312"/>
          <w:sz w:val="32"/>
          <w:szCs w:val="32"/>
        </w:rPr>
        <w:t>《湖南省大力支持大学生创业若干政策措施》（湘政办发〔2024〕42号）精神</w:t>
      </w:r>
      <w:r>
        <w:rPr>
          <w:rFonts w:ascii="Times New Roman" w:hAnsi="Times New Roman" w:eastAsia="仿宋_GB2312"/>
          <w:sz w:val="32"/>
          <w:szCs w:val="32"/>
          <w:lang w:eastAsia="zh-Hans"/>
        </w:rPr>
        <w:t>，</w:t>
      </w:r>
      <w:r>
        <w:rPr>
          <w:rFonts w:hint="eastAsia" w:ascii="Times New Roman" w:hAnsi="Times New Roman" w:eastAsia="仿宋_GB2312"/>
          <w:sz w:val="32"/>
          <w:szCs w:val="32"/>
        </w:rPr>
        <w:t>我办</w:t>
      </w:r>
      <w:r>
        <w:rPr>
          <w:rFonts w:ascii="Times New Roman" w:hAnsi="Times New Roman" w:eastAsia="仿宋_GB2312"/>
          <w:sz w:val="32"/>
          <w:szCs w:val="32"/>
          <w:lang w:eastAsia="zh-Hans"/>
        </w:rPr>
        <w:t>制定了《湖南省关于推动社会资本接力跟投支持大学生创业的意见》，现印发你们，请遵照执行。</w:t>
      </w:r>
    </w:p>
    <w:p>
      <w:pPr>
        <w:spacing w:line="560" w:lineRule="exact"/>
        <w:jc w:val="center"/>
        <w:rPr>
          <w:rFonts w:ascii="Times New Roman" w:hAnsi="Times New Roman" w:eastAsia="仿宋_GB2312"/>
          <w:sz w:val="32"/>
          <w:szCs w:val="32"/>
          <w:lang w:eastAsia="zh-Hans"/>
        </w:rPr>
      </w:pPr>
    </w:p>
    <w:p>
      <w:pPr>
        <w:spacing w:line="560" w:lineRule="exact"/>
        <w:ind w:firstLine="5760" w:firstLineChars="1800"/>
        <w:rPr>
          <w:rFonts w:ascii="Times New Roman" w:hAnsi="Times New Roman" w:eastAsia="仿宋_GB2312"/>
          <w:sz w:val="32"/>
          <w:szCs w:val="32"/>
          <w:lang w:eastAsia="zh-Hans"/>
        </w:rPr>
      </w:pPr>
    </w:p>
    <w:p>
      <w:pPr>
        <w:spacing w:line="560" w:lineRule="exact"/>
        <w:jc w:val="right"/>
        <w:rPr>
          <w:rFonts w:hint="eastAsia" w:ascii="Times New Roman" w:hAnsi="Times New Roman" w:eastAsia="仿宋_GB2312"/>
          <w:sz w:val="32"/>
          <w:szCs w:val="32"/>
          <w:lang w:eastAsia="zh-Hans"/>
        </w:rPr>
      </w:pPr>
      <w:r>
        <w:rPr>
          <w:rFonts w:hint="eastAsia" w:ascii="Times New Roman" w:hAnsi="Times New Roman" w:eastAsia="仿宋_GB2312"/>
          <w:sz w:val="32"/>
          <w:szCs w:val="32"/>
          <w:lang w:eastAsia="zh-Hans"/>
        </w:rPr>
        <w:t>中共湖南省委金融委员会办公室</w:t>
      </w:r>
    </w:p>
    <w:p>
      <w:pPr>
        <w:wordWrap w:val="0"/>
        <w:spacing w:line="560" w:lineRule="exact"/>
        <w:ind w:firstLine="4800" w:firstLineChars="1500"/>
        <w:jc w:val="center"/>
        <w:rPr>
          <w:rFonts w:hint="eastAsia" w:eastAsia="仿宋_GB2312"/>
          <w:lang w:val="en-US" w:eastAsia="zh-CN"/>
        </w:rPr>
      </w:pPr>
      <w:r>
        <w:rPr>
          <w:rFonts w:ascii="Times New Roman" w:hAnsi="Times New Roman" w:eastAsia="仿宋_GB2312"/>
          <w:sz w:val="32"/>
          <w:szCs w:val="32"/>
          <w:lang w:eastAsia="zh-Hans"/>
        </w:rPr>
        <w:t>202</w:t>
      </w:r>
      <w:r>
        <w:rPr>
          <w:rFonts w:hint="eastAsia" w:ascii="Times New Roman" w:hAnsi="Times New Roman" w:eastAsia="仿宋_GB2312"/>
          <w:sz w:val="32"/>
          <w:szCs w:val="32"/>
        </w:rPr>
        <w:t>5</w:t>
      </w:r>
      <w:r>
        <w:rPr>
          <w:rFonts w:ascii="Times New Roman" w:hAnsi="Times New Roman" w:eastAsia="仿宋_GB2312"/>
          <w:sz w:val="32"/>
          <w:szCs w:val="32"/>
          <w:lang w:eastAsia="zh-Hans"/>
        </w:rPr>
        <w:t>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lang w:eastAsia="zh-Hans"/>
        </w:rPr>
        <w:t>月</w:t>
      </w:r>
      <w:r>
        <w:rPr>
          <w:rFonts w:hint="eastAsia" w:ascii="Times New Roman" w:hAnsi="Times New Roman" w:eastAsia="仿宋_GB2312"/>
          <w:sz w:val="32"/>
          <w:szCs w:val="32"/>
          <w:lang w:val="en-US" w:eastAsia="zh-CN"/>
        </w:rPr>
        <w:t>9</w:t>
      </w:r>
      <w:r>
        <w:rPr>
          <w:rFonts w:ascii="Times New Roman" w:hAnsi="Times New Roman" w:eastAsia="仿宋_GB2312"/>
          <w:sz w:val="32"/>
          <w:szCs w:val="32"/>
          <w:lang w:eastAsia="zh-Hans"/>
        </w:rPr>
        <w:t>日</w:t>
      </w:r>
      <w:r>
        <w:rPr>
          <w:rFonts w:hint="eastAsia" w:ascii="Times New Roman" w:hAnsi="Times New Roman" w:eastAsia="仿宋_GB2312"/>
          <w:sz w:val="32"/>
          <w:szCs w:val="32"/>
          <w:lang w:val="en-US" w:eastAsia="zh-CN"/>
        </w:rPr>
        <w:t xml:space="preserve"> </w:t>
      </w:r>
    </w:p>
    <w:p>
      <w:pPr>
        <w:spacing w:line="560" w:lineRule="exact"/>
        <w:jc w:val="center"/>
        <w:rPr>
          <w:rFonts w:hint="eastAsia" w:ascii="方正小标宋简体" w:hAnsi="方正小标宋_GBK" w:eastAsia="方正小标宋简体" w:cs="方正小标宋_GBK"/>
          <w:sz w:val="44"/>
          <w:szCs w:val="36"/>
        </w:rPr>
        <w:sectPr>
          <w:footerReference r:id="rId3" w:type="default"/>
          <w:pgSz w:w="11906" w:h="16838"/>
          <w:pgMar w:top="2098" w:right="1474" w:bottom="1984" w:left="1587" w:header="851" w:footer="992" w:gutter="0"/>
          <w:pgNumType w:fmt="numberInDash"/>
          <w:cols w:space="720" w:num="1"/>
          <w:docGrid w:type="lines" w:linePitch="312" w:charSpace="0"/>
        </w:sectPr>
      </w:pPr>
    </w:p>
    <w:p>
      <w:pPr>
        <w:spacing w:line="560" w:lineRule="exact"/>
        <w:jc w:val="center"/>
        <w:rPr>
          <w:rFonts w:hint="eastAsia" w:ascii="方正小标宋简体" w:hAnsi="方正小标宋_GBK" w:eastAsia="方正小标宋简体" w:cs="方正小标宋_GBK"/>
          <w:sz w:val="44"/>
          <w:szCs w:val="36"/>
        </w:rPr>
      </w:pPr>
    </w:p>
    <w:p>
      <w:pPr>
        <w:spacing w:line="560" w:lineRule="exact"/>
        <w:jc w:val="center"/>
        <w:rPr>
          <w:rFonts w:hint="eastAsia" w:ascii="方正小标宋简体" w:hAnsi="方正小标宋_GBK" w:eastAsia="方正小标宋简体" w:cs="方正小标宋_GBK"/>
          <w:sz w:val="44"/>
          <w:szCs w:val="36"/>
        </w:rPr>
      </w:pPr>
      <w:r>
        <w:rPr>
          <w:rFonts w:hint="eastAsia" w:ascii="方正小标宋简体" w:hAnsi="方正小标宋_GBK" w:eastAsia="方正小标宋简体" w:cs="方正小标宋_GBK"/>
          <w:sz w:val="44"/>
          <w:szCs w:val="36"/>
        </w:rPr>
        <w:t>湖南省关于推动社会资本接力跟投</w:t>
      </w:r>
    </w:p>
    <w:p>
      <w:pPr>
        <w:spacing w:line="560" w:lineRule="exact"/>
        <w:jc w:val="center"/>
        <w:rPr>
          <w:rFonts w:hint="eastAsia" w:ascii="方正小标宋简体" w:hAnsi="方正小标宋_GBK" w:eastAsia="方正小标宋简体" w:cs="方正小标宋_GBK"/>
          <w:sz w:val="44"/>
          <w:szCs w:val="36"/>
        </w:rPr>
      </w:pPr>
      <w:r>
        <w:rPr>
          <w:rFonts w:hint="eastAsia" w:ascii="方正小标宋简体" w:hAnsi="方正小标宋_GBK" w:eastAsia="方正小标宋简体" w:cs="方正小标宋_GBK"/>
          <w:sz w:val="44"/>
          <w:szCs w:val="36"/>
        </w:rPr>
        <w:t>支持大学生创业的意见</w:t>
      </w:r>
    </w:p>
    <w:p>
      <w:pPr>
        <w:spacing w:line="560" w:lineRule="exact"/>
        <w:ind w:firstLine="640" w:firstLineChars="200"/>
        <w:rPr>
          <w:rFonts w:hint="eastAsia" w:ascii="Times New Roman" w:hAnsi="Times New Roman" w:eastAsia="仿宋_GB2312"/>
          <w:sz w:val="32"/>
        </w:rPr>
      </w:pPr>
    </w:p>
    <w:p>
      <w:pPr>
        <w:spacing w:line="56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为深入贯彻落实《湖南省大力支持大学生创业若干政策措施》（湘政办发〔2024〕42号）精神，充分发挥政府主导的创投基金牵引带动作用，联动金融机构和社会资本形成多层次金融支持体系，提高社会资本对大学生创业的参与度，解决好接续投资问题，结合我省实际，</w:t>
      </w:r>
      <w:r>
        <w:rPr>
          <w:rFonts w:hint="eastAsia" w:ascii="仿宋_GB2312" w:hAnsi="宋体" w:eastAsia="仿宋_GB2312" w:cs="仿宋_GB2312"/>
          <w:snapToGrid w:val="0"/>
          <w:sz w:val="32"/>
          <w:szCs w:val="32"/>
        </w:rPr>
        <w:t>现提出如下意见。</w:t>
      </w:r>
    </w:p>
    <w:p>
      <w:pPr>
        <w:spacing w:line="560" w:lineRule="exact"/>
        <w:ind w:firstLine="640" w:firstLineChars="200"/>
        <w:rPr>
          <w:rFonts w:hint="eastAsia" w:ascii="Times New Roman" w:hAnsi="Times New Roman" w:eastAsia="仿宋_GB2312"/>
          <w:sz w:val="32"/>
        </w:rPr>
      </w:pPr>
      <w:r>
        <w:rPr>
          <w:rStyle w:val="9"/>
          <w:rFonts w:hint="eastAsia" w:ascii="黑体" w:hAnsi="黑体" w:eastAsia="黑体" w:cs="黑体"/>
          <w:b w:val="0"/>
          <w:bCs/>
          <w:sz w:val="32"/>
          <w:szCs w:val="32"/>
          <w:shd w:val="clear" w:color="auto" w:fill="FFFFFF"/>
        </w:rPr>
        <w:t>一、建立接力跟投引导机制</w:t>
      </w:r>
      <w:r>
        <w:rPr>
          <w:rFonts w:hint="eastAsia" w:ascii="Times New Roman" w:hAnsi="Times New Roman" w:eastAsia="黑体"/>
          <w:sz w:val="32"/>
        </w:rPr>
        <w:t>。</w:t>
      </w:r>
      <w:r>
        <w:rPr>
          <w:rFonts w:hint="eastAsia" w:ascii="Times New Roman" w:hAnsi="Times New Roman" w:eastAsia="仿宋_GB2312"/>
          <w:sz w:val="32"/>
        </w:rPr>
        <w:t>推动湖南省大学生创业投资基金扩面</w:t>
      </w:r>
      <w:r>
        <w:rPr>
          <w:rFonts w:ascii="Times New Roman" w:hAnsi="Times New Roman" w:eastAsia="仿宋_GB2312"/>
          <w:sz w:val="32"/>
        </w:rPr>
        <w:t>提</w:t>
      </w:r>
      <w:r>
        <w:rPr>
          <w:rFonts w:hint="eastAsia" w:ascii="Times New Roman" w:hAnsi="Times New Roman" w:eastAsia="仿宋_GB2312"/>
          <w:sz w:val="32"/>
        </w:rPr>
        <w:t>效，重点</w:t>
      </w:r>
      <w:r>
        <w:rPr>
          <w:rFonts w:ascii="Times New Roman" w:hAnsi="Times New Roman" w:eastAsia="仿宋_GB2312"/>
          <w:sz w:val="32"/>
        </w:rPr>
        <w:t>为</w:t>
      </w:r>
      <w:r>
        <w:rPr>
          <w:rFonts w:hint="eastAsia" w:ascii="Times New Roman" w:hAnsi="Times New Roman" w:eastAsia="仿宋_GB2312"/>
          <w:sz w:val="32"/>
        </w:rPr>
        <w:t>大学生主导的</w:t>
      </w:r>
      <w:r>
        <w:rPr>
          <w:rFonts w:ascii="Times New Roman" w:hAnsi="Times New Roman" w:eastAsia="仿宋_GB2312"/>
          <w:sz w:val="32"/>
        </w:rPr>
        <w:t>创业初期项目提供创业启动资金。</w:t>
      </w:r>
      <w:r>
        <w:rPr>
          <w:rFonts w:hint="eastAsia" w:ascii="Times New Roman" w:hAnsi="Times New Roman" w:eastAsia="仿宋_GB2312"/>
          <w:sz w:val="32"/>
          <w:szCs w:val="32"/>
        </w:rPr>
        <w:t>对于政府资金参与设立的早中期创投基金，鼓励基金管理人对符合投资标准的大学生创业项目进行领投、跟投。</w:t>
      </w:r>
      <w:r>
        <w:rPr>
          <w:rFonts w:hint="eastAsia" w:ascii="Times New Roman" w:hAnsi="Times New Roman" w:eastAsia="仿宋_GB2312"/>
          <w:sz w:val="32"/>
        </w:rPr>
        <w:t>对</w:t>
      </w:r>
      <w:r>
        <w:rPr>
          <w:rFonts w:hint="eastAsia" w:ascii="仿宋_GB2312" w:hAnsi="仿宋_GB2312" w:eastAsia="仿宋_GB2312" w:cs="仿宋_GB2312"/>
          <w:sz w:val="32"/>
          <w:szCs w:val="32"/>
        </w:rPr>
        <w:t>政府</w:t>
      </w:r>
      <w:r>
        <w:rPr>
          <w:rFonts w:hint="eastAsia" w:ascii="Times New Roman" w:hAnsi="Times New Roman" w:eastAsia="仿宋_GB2312"/>
          <w:sz w:val="32"/>
          <w:szCs w:val="32"/>
        </w:rPr>
        <w:t>投资</w:t>
      </w:r>
      <w:r>
        <w:rPr>
          <w:rFonts w:hint="eastAsia" w:ascii="仿宋_GB2312" w:hAnsi="仿宋_GB2312" w:eastAsia="仿宋_GB2312" w:cs="仿宋_GB2312"/>
          <w:sz w:val="32"/>
          <w:szCs w:val="32"/>
        </w:rPr>
        <w:t>基金</w:t>
      </w:r>
      <w:r>
        <w:rPr>
          <w:rFonts w:hint="eastAsia" w:ascii="Times New Roman" w:hAnsi="Times New Roman" w:eastAsia="仿宋_GB2312"/>
          <w:sz w:val="32"/>
        </w:rPr>
        <w:t>投资的项目，</w:t>
      </w:r>
      <w:r>
        <w:rPr>
          <w:rFonts w:hint="eastAsia" w:ascii="Times New Roman" w:hAnsi="Times New Roman" w:eastAsia="仿宋_GB2312"/>
          <w:sz w:val="32"/>
          <w:szCs w:val="32"/>
        </w:rPr>
        <w:t>引导社会资本在后续融资轮次中接力投资。对接力投资大学生创业项目的金芙蓉科创类、产业类基金，推动提高返投认定系数。鼓励政府引导基金参照湖南省大学生创业投资基金的回购机制，合理确定优惠价格向社会资本转让股权，尽早退出</w:t>
      </w:r>
      <w:r>
        <w:rPr>
          <w:rFonts w:hint="eastAsia" w:ascii="Times New Roman" w:hAnsi="Times New Roman" w:eastAsia="仿宋_GB2312"/>
          <w:sz w:val="32"/>
        </w:rPr>
        <w:t>。鼓励社会资本与湖南省大学生创业投资基金共同孵化项目，形成“早期共投、中期跟投、后期退出”的接力机制。</w:t>
      </w:r>
    </w:p>
    <w:p>
      <w:pPr>
        <w:spacing w:line="560" w:lineRule="exact"/>
        <w:ind w:firstLine="640" w:firstLineChars="200"/>
        <w:rPr>
          <w:rFonts w:hint="eastAsia" w:ascii="Times New Roman" w:hAnsi="Times New Roman" w:eastAsia="仿宋_GB2312"/>
          <w:sz w:val="32"/>
        </w:rPr>
      </w:pPr>
      <w:r>
        <w:rPr>
          <w:rStyle w:val="9"/>
          <w:rFonts w:hint="eastAsia" w:ascii="黑体" w:hAnsi="黑体" w:eastAsia="黑体" w:cs="黑体"/>
          <w:b w:val="0"/>
          <w:bCs/>
          <w:sz w:val="32"/>
          <w:szCs w:val="32"/>
          <w:shd w:val="clear" w:color="auto" w:fill="FFFFFF"/>
        </w:rPr>
        <w:t>二、优化接力跟投渠道</w:t>
      </w:r>
      <w:r>
        <w:rPr>
          <w:rFonts w:hint="eastAsia" w:ascii="Times New Roman" w:hAnsi="Times New Roman" w:eastAsia="仿宋_GB2312"/>
          <w:sz w:val="32"/>
        </w:rPr>
        <w:t>。</w:t>
      </w:r>
      <w:r>
        <w:rPr>
          <w:rFonts w:hint="eastAsia" w:ascii="Times New Roman" w:hAnsi="Times New Roman" w:eastAsia="仿宋_GB2312"/>
          <w:sz w:val="32"/>
          <w:szCs w:val="32"/>
        </w:rPr>
        <w:t>畅通地方政府、行业部门、高校、股权投资机构等主体向湖南省大学生创业投资基金推荐优质项目的渠道，持续完善大学生创业项目库，建好用好金芙蓉投资基金数智化平台，实现信息共享。鼓励湖南省大学生创业投资基金与银行、创投基金建立健全尽职调查联动机制，支持一方为代表或多方联合尽职调查，尽职调查结果多方互认，提高投资效率。</w:t>
      </w:r>
      <w:r>
        <w:rPr>
          <w:rFonts w:ascii="Times New Roman" w:hAnsi="Times New Roman" w:eastAsia="仿宋_GB2312"/>
          <w:sz w:val="32"/>
        </w:rPr>
        <w:t>依托金芙蓉基金科创生态联盟，</w:t>
      </w:r>
      <w:r>
        <w:rPr>
          <w:rFonts w:hint="eastAsia" w:ascii="Times New Roman" w:hAnsi="Times New Roman" w:eastAsia="仿宋_GB2312"/>
          <w:sz w:val="32"/>
        </w:rPr>
        <w:t>搭建线上线下对接平台，定期举办全省大学生创业项目资本对接会，联动区域性股权市场及</w:t>
      </w:r>
      <w:r>
        <w:rPr>
          <w:rFonts w:ascii="Times New Roman" w:hAnsi="Times New Roman" w:eastAsia="仿宋_GB2312"/>
          <w:sz w:val="32"/>
        </w:rPr>
        <w:t>湘江基金小镇等平台</w:t>
      </w:r>
      <w:r>
        <w:rPr>
          <w:rFonts w:hint="eastAsia" w:ascii="Times New Roman" w:hAnsi="Times New Roman" w:eastAsia="仿宋_GB2312"/>
          <w:sz w:val="32"/>
        </w:rPr>
        <w:t>，推动天使投资、风险投资、产业基金与创业项目有效对接。</w:t>
      </w:r>
    </w:p>
    <w:p>
      <w:pPr>
        <w:widowControl/>
        <w:spacing w:line="560" w:lineRule="exact"/>
        <w:ind w:firstLine="640" w:firstLineChars="200"/>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color="auto" w:fill="FFFFFF"/>
        </w:rPr>
        <w:t>三、</w:t>
      </w:r>
      <w:r>
        <w:rPr>
          <w:rFonts w:hint="eastAsia" w:ascii="黑体" w:hAnsi="黑体" w:eastAsia="黑体" w:cs="黑体"/>
          <w:sz w:val="32"/>
          <w:szCs w:val="32"/>
        </w:rPr>
        <w:t>构建风险共担机制。</w:t>
      </w:r>
      <w:r>
        <w:rPr>
          <w:rFonts w:hint="eastAsia" w:ascii="Times New Roman" w:hAnsi="Times New Roman" w:eastAsia="仿宋_GB2312"/>
          <w:sz w:val="32"/>
          <w:szCs w:val="32"/>
        </w:rPr>
        <w:t>湖南省大学生创业投资基金</w:t>
      </w:r>
      <w:r>
        <w:rPr>
          <w:rFonts w:hint="eastAsia" w:ascii="Times New Roman" w:hAnsi="Times New Roman" w:eastAsia="仿宋_GB2312"/>
          <w:sz w:val="32"/>
        </w:rPr>
        <w:t>省级财政出资部分实行“收益让渡+风险缓冲”机制，社会资本完成跟投后，省级财政出资所获收益最高100%让渡给社会资本方；若项目投资失败，省级财政出资部分按</w:t>
      </w:r>
      <w:r>
        <w:rPr>
          <w:rFonts w:hint="eastAsia" w:ascii="Times New Roman" w:hAnsi="Times New Roman" w:eastAsia="仿宋_GB2312"/>
          <w:sz w:val="32"/>
          <w:szCs w:val="32"/>
        </w:rPr>
        <w:t>出资比例</w:t>
      </w:r>
      <w:r>
        <w:rPr>
          <w:rFonts w:hint="eastAsia" w:ascii="Times New Roman" w:hAnsi="Times New Roman" w:eastAsia="仿宋_GB2312"/>
          <w:sz w:val="32"/>
        </w:rPr>
        <w:t>承担损失，并通过基金损失核销机制予以处置。</w:t>
      </w:r>
      <w:r>
        <w:rPr>
          <w:rFonts w:hint="eastAsia" w:ascii="Times New Roman" w:hAnsi="Times New Roman" w:eastAsia="仿宋_GB2312"/>
          <w:sz w:val="32"/>
          <w:szCs w:val="32"/>
        </w:rPr>
        <w:t>对主要投资种子期、初创期项目的相关金芙蓉科创类子基金，推动适当提高容亏率。</w:t>
      </w:r>
      <w:r>
        <w:rPr>
          <w:rFonts w:hint="eastAsia" w:ascii="仿宋_GB2312" w:hAnsi="仿宋_GB2312" w:eastAsia="仿宋_GB2312" w:cs="仿宋_GB2312"/>
          <w:sz w:val="32"/>
          <w:szCs w:val="32"/>
        </w:rPr>
        <w:t>鼓励保险机构探索开发大学生创业相关保险产品，对为大学生创业过程中的产品责任、职业责任、意外伤害、费用损失、创业失败等提供风险保障的保险，由省财政</w:t>
      </w:r>
      <w:r>
        <w:rPr>
          <w:rFonts w:hint="eastAsia" w:ascii="仿宋_GB2312" w:hAnsi="仿宋_GB2312" w:eastAsia="仿宋_GB2312" w:cs="仿宋_GB2312"/>
          <w:sz w:val="32"/>
          <w:szCs w:val="32"/>
          <w:lang w:eastAsia="zh-CN"/>
        </w:rPr>
        <w:t>按保费的</w:t>
      </w:r>
      <w:r>
        <w:rPr>
          <w:rFonts w:ascii="Times New Roman" w:hAnsi="Times New Roman" w:eastAsia="仿宋_GB2312"/>
          <w:sz w:val="32"/>
          <w:szCs w:val="32"/>
        </w:rPr>
        <w:t>30%</w:t>
      </w:r>
      <w:r>
        <w:rPr>
          <w:rFonts w:hint="eastAsia" w:ascii="仿宋_GB2312" w:hAnsi="仿宋_GB2312" w:eastAsia="仿宋_GB2312" w:cs="仿宋_GB2312"/>
          <w:sz w:val="32"/>
          <w:szCs w:val="32"/>
        </w:rPr>
        <w:t>给</w:t>
      </w:r>
      <w:r>
        <w:rPr>
          <w:rFonts w:ascii="Times New Roman" w:hAnsi="Times New Roman" w:eastAsia="仿宋_GB2312"/>
          <w:sz w:val="32"/>
          <w:szCs w:val="32"/>
        </w:rPr>
        <w:t>予</w:t>
      </w:r>
      <w:r>
        <w:rPr>
          <w:rFonts w:hint="eastAsia" w:ascii="仿宋_GB2312" w:hAnsi="仿宋_GB2312" w:eastAsia="仿宋_GB2312" w:cs="仿宋_GB2312"/>
          <w:sz w:val="32"/>
          <w:szCs w:val="32"/>
        </w:rPr>
        <w:t>补</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w:t>
      </w:r>
    </w:p>
    <w:p>
      <w:pPr>
        <w:pStyle w:val="5"/>
        <w:ind w:firstLine="640"/>
        <w:rPr>
          <w:rFonts w:hint="eastAsia"/>
        </w:rPr>
      </w:pPr>
      <w:r>
        <w:rPr>
          <w:rFonts w:ascii="黑体" w:hAnsi="黑体" w:eastAsia="黑体" w:cs="黑体"/>
        </w:rPr>
        <w:t>四</w:t>
      </w:r>
      <w:r>
        <w:rPr>
          <w:rFonts w:hint="eastAsia" w:ascii="黑体" w:hAnsi="黑体" w:eastAsia="黑体" w:cs="黑体"/>
        </w:rPr>
        <w:t>、健全投贷担联动支持体系</w:t>
      </w:r>
      <w:r>
        <w:rPr>
          <w:rFonts w:hint="eastAsia"/>
        </w:rPr>
        <w:t>。鼓励银行机构针对基金投资的大学生创业企业，</w:t>
      </w:r>
      <w:r>
        <w:rPr>
          <w:rFonts w:hint="eastAsia" w:ascii="仿宋_GB2312" w:hAnsi="仿宋_GB2312" w:cs="仿宋_GB2312"/>
          <w:szCs w:val="32"/>
        </w:rPr>
        <w:t>开发并推广</w:t>
      </w:r>
      <w:r>
        <w:rPr>
          <w:rFonts w:ascii="仿宋_GB2312" w:hAnsi="仿宋_GB2312" w:cs="仿宋_GB2312"/>
          <w:szCs w:val="32"/>
        </w:rPr>
        <w:t>大学生创业贷</w:t>
      </w:r>
      <w:r>
        <w:rPr>
          <w:rFonts w:hint="eastAsia" w:ascii="仿宋_GB2312" w:hAnsi="仿宋_GB2312" w:cs="仿宋_GB2312"/>
          <w:szCs w:val="32"/>
        </w:rPr>
        <w:t>款、</w:t>
      </w:r>
      <w:r>
        <w:rPr>
          <w:rFonts w:hint="eastAsia"/>
        </w:rPr>
        <w:t>知识产权质押贷款、股权质押贷款等</w:t>
      </w:r>
      <w:r>
        <w:rPr>
          <w:rFonts w:hint="eastAsia" w:ascii="仿宋_GB2312" w:hAnsi="仿宋_GB2312" w:cs="仿宋_GB2312"/>
          <w:szCs w:val="32"/>
        </w:rPr>
        <w:t>标准化专属信贷产品，</w:t>
      </w:r>
      <w:r>
        <w:rPr>
          <w:rFonts w:hint="eastAsia"/>
        </w:rPr>
        <w:t>对符合条件的项目给予</w:t>
      </w:r>
      <w:r>
        <w:rPr>
          <w:rFonts w:hint="eastAsia" w:ascii="仿宋_GB2312" w:hAnsi="仿宋_GB2312" w:cs="仿宋_GB2312"/>
          <w:szCs w:val="32"/>
        </w:rPr>
        <w:t>优先授信、优惠利率、更高额度支持。支持</w:t>
      </w:r>
      <w:r>
        <w:rPr>
          <w:rFonts w:ascii="仿宋_GB2312" w:hAnsi="仿宋_GB2312" w:cs="仿宋_GB2312"/>
          <w:szCs w:val="32"/>
        </w:rPr>
        <w:t>政府性融资担保机构</w:t>
      </w:r>
      <w:r>
        <w:rPr>
          <w:rFonts w:hint="eastAsia" w:ascii="仿宋_GB2312" w:hAnsi="仿宋_GB2312" w:cs="仿宋_GB2312"/>
          <w:szCs w:val="32"/>
        </w:rPr>
        <w:t>针对</w:t>
      </w:r>
      <w:r>
        <w:rPr>
          <w:rFonts w:hint="eastAsia"/>
        </w:rPr>
        <w:t>基金投资的大学生创业企业</w:t>
      </w:r>
      <w:r>
        <w:rPr>
          <w:rFonts w:ascii="仿宋_GB2312" w:hAnsi="仿宋_GB2312" w:cs="仿宋_GB2312"/>
          <w:szCs w:val="32"/>
        </w:rPr>
        <w:t>推出“红枫担”“大学生创业担”等</w:t>
      </w:r>
      <w:r>
        <w:rPr>
          <w:rFonts w:hint="eastAsia" w:ascii="仿宋_GB2312" w:hAnsi="仿宋_GB2312" w:cs="仿宋_GB2312"/>
          <w:szCs w:val="32"/>
        </w:rPr>
        <w:t>专项担保增信产品，提供更低费率、更简流程、更高额度的增信支持。引导</w:t>
      </w:r>
      <w:r>
        <w:rPr>
          <w:rFonts w:hint="eastAsia"/>
        </w:rPr>
        <w:t>建立见投即贷、见投即</w:t>
      </w:r>
      <w:r>
        <w:t>担快速响应</w:t>
      </w:r>
      <w:r>
        <w:rPr>
          <w:rFonts w:hint="eastAsia"/>
        </w:rPr>
        <w:t>机制，对基金投资的大学生创业企业，优先提供信用贷款或知识产权质押贷款，</w:t>
      </w:r>
      <w:r>
        <w:t>配套提供担保支持</w:t>
      </w:r>
      <w:r>
        <w:rPr>
          <w:rFonts w:hint="eastAsia"/>
        </w:rPr>
        <w:t>，贷款额度原则上不低于基金投资额度。</w:t>
      </w:r>
    </w:p>
    <w:p>
      <w:pPr>
        <w:pStyle w:val="11"/>
        <w:spacing w:line="560" w:lineRule="exact"/>
        <w:ind w:firstLine="640"/>
      </w:pPr>
      <w:r>
        <w:rPr>
          <w:rFonts w:ascii="黑体" w:hAnsi="黑体" w:eastAsia="黑体" w:cs="黑体"/>
        </w:rPr>
        <w:t>五</w:t>
      </w:r>
      <w:r>
        <w:rPr>
          <w:rFonts w:hint="eastAsia" w:ascii="黑体" w:hAnsi="黑体" w:eastAsia="黑体" w:cs="黑体"/>
        </w:rPr>
        <w:t>、</w:t>
      </w:r>
      <w:r>
        <w:rPr>
          <w:rFonts w:hint="eastAsia" w:ascii="黑体" w:hAnsi="黑体" w:eastAsia="黑体" w:cs="黑体"/>
          <w:szCs w:val="32"/>
        </w:rPr>
        <w:t>完善奖补政策。</w:t>
      </w:r>
      <w:r>
        <w:rPr>
          <w:szCs w:val="32"/>
        </w:rPr>
        <w:t>对在中国证券投资基金业协会登记且正常经营的私募股权</w:t>
      </w:r>
      <w:r>
        <w:rPr>
          <w:rFonts w:hint="eastAsia"/>
          <w:szCs w:val="32"/>
        </w:rPr>
        <w:t>、创业</w:t>
      </w:r>
      <w:r>
        <w:rPr>
          <w:szCs w:val="32"/>
        </w:rPr>
        <w:t>投资基金管理人</w:t>
      </w:r>
      <w:r>
        <w:rPr>
          <w:rFonts w:hint="eastAsia"/>
          <w:szCs w:val="32"/>
        </w:rPr>
        <w:t>和</w:t>
      </w:r>
      <w:r>
        <w:rPr>
          <w:szCs w:val="32"/>
        </w:rPr>
        <w:t>在国家发展改革委备案且年检合格的创业投资企业，采用股权投资方式投资我省大学生创业企业，且持有股权满</w:t>
      </w:r>
      <w:r>
        <w:rPr>
          <w:rFonts w:hint="eastAsia"/>
          <w:szCs w:val="32"/>
        </w:rPr>
        <w:t>1</w:t>
      </w:r>
      <w:r>
        <w:rPr>
          <w:szCs w:val="32"/>
        </w:rPr>
        <w:t>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p>
    <w:p/>
    <w:p>
      <w:pPr>
        <w:pStyle w:val="2"/>
      </w:pPr>
    </w:p>
    <w:p/>
    <w:p>
      <w:pPr>
        <w:pStyle w:val="2"/>
      </w:pPr>
    </w:p>
    <w:p>
      <w:pPr>
        <w:pStyle w:val="2"/>
      </w:pPr>
    </w:p>
    <w:p>
      <w:pPr>
        <w:pStyle w:val="2"/>
      </w:pPr>
    </w:p>
    <w:p>
      <w:pPr>
        <w:rPr>
          <w:lang w:val="zh-CN"/>
        </w:rPr>
      </w:pPr>
    </w:p>
    <w:p>
      <w:pPr>
        <w:pStyle w:val="2"/>
        <w:rPr>
          <w:lang w:val="zh-CN"/>
        </w:rPr>
      </w:pPr>
    </w:p>
    <w:p/>
    <w:tbl>
      <w:tblPr>
        <w:tblStyle w:val="6"/>
        <w:tblpPr w:leftFromText="180" w:rightFromText="180" w:vertAnchor="text" w:horzAnchor="page" w:tblpX="2000" w:tblpY="880"/>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pPr>
              <w:pStyle w:val="10"/>
              <w:wordWrap w:val="0"/>
              <w:ind w:firstLine="140" w:firstLineChars="50"/>
              <w:rPr>
                <w:rFonts w:eastAsia="仿宋_GB2312"/>
                <w:sz w:val="28"/>
                <w:szCs w:val="28"/>
              </w:rPr>
            </w:pPr>
            <w:r>
              <w:rPr>
                <w:rFonts w:hint="eastAsia" w:eastAsia="仿宋_GB2312"/>
                <w:sz w:val="28"/>
                <w:szCs w:val="28"/>
              </w:rPr>
              <w:t>中共湖南省委金融委员会办公室</w:t>
            </w:r>
            <w:r>
              <w:rPr>
                <w:rFonts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日印</w:t>
            </w:r>
            <w:r>
              <w:rPr>
                <w:rFonts w:eastAsia="仿宋_GB2312"/>
                <w:sz w:val="28"/>
                <w:szCs w:val="28"/>
              </w:rPr>
              <w:t>发</w:t>
            </w:r>
          </w:p>
        </w:tc>
      </w:tr>
    </w:tbl>
    <w:p>
      <w:pPr>
        <w:pStyle w:val="2"/>
        <w:rPr>
          <w:rFonts w:hint="eastAsia"/>
          <w:lang w:val="en-US"/>
        </w:rPr>
      </w:pPr>
    </w:p>
    <w:sectPr>
      <w:footerReference r:id="rId4"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0WLZLHAQAAewMAAA4AAABkcnMv&#10;ZTJvRG9jLnhtbK1TS44TMRTcI3EHy3viTi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G0WLZLHAQAAewMAAA4AAAAAAAAA&#10;AQAgAAAANA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- 14 -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Q4NGUyNWIyZGU1YWI3OTRhMmRhNzAwMWE2NWUifQ=="/>
  </w:docVars>
  <w:rsids>
    <w:rsidRoot w:val="DDDE0EC6"/>
    <w:rsid w:val="001277DB"/>
    <w:rsid w:val="009808AC"/>
    <w:rsid w:val="166817B1"/>
    <w:rsid w:val="1AA049D5"/>
    <w:rsid w:val="1B7BA9A0"/>
    <w:rsid w:val="1BAB2B00"/>
    <w:rsid w:val="1EDBF96A"/>
    <w:rsid w:val="2F5D6B7C"/>
    <w:rsid w:val="2FB6D30E"/>
    <w:rsid w:val="2FFDD08A"/>
    <w:rsid w:val="3DDF4C2B"/>
    <w:rsid w:val="3DDF4F02"/>
    <w:rsid w:val="3E3FF399"/>
    <w:rsid w:val="3FC7703E"/>
    <w:rsid w:val="49605A3F"/>
    <w:rsid w:val="4F35067F"/>
    <w:rsid w:val="4FF74693"/>
    <w:rsid w:val="516D416D"/>
    <w:rsid w:val="5B5C4ABC"/>
    <w:rsid w:val="5B9F91BC"/>
    <w:rsid w:val="5E9F5478"/>
    <w:rsid w:val="5EB77997"/>
    <w:rsid w:val="5EBF77A1"/>
    <w:rsid w:val="647B39D9"/>
    <w:rsid w:val="64951A7E"/>
    <w:rsid w:val="66FEE8B4"/>
    <w:rsid w:val="6AC894D4"/>
    <w:rsid w:val="6AFE89AC"/>
    <w:rsid w:val="6E6F1FF2"/>
    <w:rsid w:val="6EFF270E"/>
    <w:rsid w:val="6FFAF66A"/>
    <w:rsid w:val="716D33C3"/>
    <w:rsid w:val="77757699"/>
    <w:rsid w:val="797DEEB4"/>
    <w:rsid w:val="7DFEE39F"/>
    <w:rsid w:val="7FB3B90A"/>
    <w:rsid w:val="7FBD3F82"/>
    <w:rsid w:val="7FE7DEFE"/>
    <w:rsid w:val="7FF726D3"/>
    <w:rsid w:val="7FFF4C6E"/>
    <w:rsid w:val="AE313145"/>
    <w:rsid w:val="B7E72132"/>
    <w:rsid w:val="BCF50265"/>
    <w:rsid w:val="BCF8ED8C"/>
    <w:rsid w:val="BDF37C10"/>
    <w:rsid w:val="BF8DBC56"/>
    <w:rsid w:val="DDDE0EC6"/>
    <w:rsid w:val="DF7D88EB"/>
    <w:rsid w:val="DFF33BF0"/>
    <w:rsid w:val="ED9E08EB"/>
    <w:rsid w:val="EFEF31C2"/>
    <w:rsid w:val="F4FB8A15"/>
    <w:rsid w:val="F6F6F084"/>
    <w:rsid w:val="F7CFBA54"/>
    <w:rsid w:val="F7DF734E"/>
    <w:rsid w:val="F9EE5F3D"/>
    <w:rsid w:val="FA7BAB85"/>
    <w:rsid w:val="FBFD822A"/>
    <w:rsid w:val="FDBF7AA5"/>
    <w:rsid w:val="FDF7C597"/>
    <w:rsid w:val="FF3F629A"/>
    <w:rsid w:val="FF5FFDC8"/>
    <w:rsid w:val="FFBFF9B1"/>
    <w:rsid w:val="FFDF6E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8"/>
      <w:szCs w:val="20"/>
      <w:lang w:val="zh-CN"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next w:val="1"/>
    <w:qFormat/>
    <w:uiPriority w:val="0"/>
    <w:pPr>
      <w:widowControl w:val="0"/>
      <w:spacing w:line="560" w:lineRule="exact"/>
      <w:ind w:firstLine="642" w:firstLineChars="200"/>
      <w:jc w:val="both"/>
    </w:pPr>
    <w:rPr>
      <w:rFonts w:ascii="Times New Roman" w:hAnsi="Times New Roman" w:eastAsia="仿宋_GB2312"/>
      <w:kern w:val="2"/>
      <w:sz w:val="32"/>
      <w:szCs w:val="24"/>
      <w:lang w:val="en-US" w:eastAsia="zh-CN" w:bidi="ar-SA"/>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p0"/>
    <w:basedOn w:val="1"/>
    <w:qFormat/>
    <w:uiPriority w:val="0"/>
    <w:pPr>
      <w:widowControl/>
    </w:pPr>
    <w:rPr>
      <w:kern w:val="0"/>
      <w:szCs w:val="21"/>
    </w:rPr>
  </w:style>
  <w:style w:type="paragraph" w:customStyle="1" w:styleId="11">
    <w:name w:val="EndnoteText"/>
    <w:qFormat/>
    <w:uiPriority w:val="0"/>
    <w:pPr>
      <w:widowControl w:val="0"/>
      <w:ind w:firstLine="642" w:firstLineChars="200"/>
      <w:jc w:val="both"/>
    </w:pPr>
    <w:rPr>
      <w:rFonts w:ascii="Times New Roman" w:hAnsi="Times New Roman"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Words>
  <Characters>1426</Characters>
  <Lines>11</Lines>
  <Paragraphs>3</Paragraphs>
  <TotalTime>3.66666666666667</TotalTime>
  <ScaleCrop>false</ScaleCrop>
  <LinksUpToDate>false</LinksUpToDate>
  <CharactersWithSpaces>1673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2023-05-01T00:48:00Z</dcterms:created>
  <dc:creator>罗平</dc:creator>
  <cp:lastModifiedBy>kylin</cp:lastModifiedBy>
  <cp:lastPrinted>2025-09-10T09:44:21Z</cp:lastPrinted>
  <dcterms:modified xsi:type="dcterms:W3CDTF">2025-11-21T15:24:49Z</dcterms:modified>
  <dc:title>湘金办发〔2025〕88号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5F3463798CFE69B15B9DBE68DFB37CB3_43</vt:lpwstr>
  </property>
</Properties>
</file>