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继续有效的规范性文件目录（</w:t>
      </w:r>
      <w:r>
        <w:rPr>
          <w:rFonts w:hint="default" w:ascii="Times New Roman" w:hAnsi="Times New Roman" w:eastAsia="方正小标宋简体" w:cs="Times New Roman"/>
          <w:sz w:val="36"/>
          <w:szCs w:val="36"/>
          <w:lang w:val="en-US" w:eastAsia="zh-CN"/>
        </w:rPr>
        <w:t>19件</w:t>
      </w:r>
      <w:r>
        <w:rPr>
          <w:rFonts w:hint="default" w:ascii="Times New Roman" w:hAnsi="Times New Roman" w:eastAsia="方正小标宋简体" w:cs="Times New Roman"/>
          <w:sz w:val="36"/>
          <w:szCs w:val="36"/>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4733"/>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napToGrid w:val="0"/>
                <w:color w:val="000000"/>
                <w:spacing w:val="-6"/>
                <w:kern w:val="0"/>
                <w:sz w:val="28"/>
                <w:szCs w:val="28"/>
                <w:lang w:eastAsia="en-US" w:bidi="ar-SA"/>
              </w:rPr>
            </w:pPr>
            <w:r>
              <w:rPr>
                <w:rFonts w:hint="default" w:ascii="黑体" w:hAnsi="黑体" w:eastAsia="黑体" w:cs="黑体"/>
                <w:b w:val="0"/>
                <w:bCs w:val="0"/>
                <w:snapToGrid w:val="0"/>
                <w:color w:val="000000"/>
                <w:spacing w:val="-6"/>
                <w:kern w:val="0"/>
                <w:sz w:val="28"/>
                <w:szCs w:val="28"/>
                <w:lang w:eastAsia="en-US" w:bidi="ar-SA"/>
              </w:rPr>
              <w:t>序号</w:t>
            </w:r>
          </w:p>
        </w:tc>
        <w:tc>
          <w:tcPr>
            <w:tcW w:w="507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napToGrid w:val="0"/>
                <w:color w:val="000000"/>
                <w:spacing w:val="-6"/>
                <w:kern w:val="0"/>
                <w:sz w:val="28"/>
                <w:szCs w:val="28"/>
                <w:lang w:eastAsia="en-US" w:bidi="ar-SA"/>
              </w:rPr>
            </w:pPr>
            <w:r>
              <w:rPr>
                <w:rFonts w:hint="default" w:ascii="黑体" w:hAnsi="黑体" w:eastAsia="黑体" w:cs="黑体"/>
                <w:b w:val="0"/>
                <w:bCs w:val="0"/>
                <w:snapToGrid w:val="0"/>
                <w:color w:val="000000"/>
                <w:spacing w:val="-6"/>
                <w:kern w:val="0"/>
                <w:sz w:val="28"/>
                <w:szCs w:val="28"/>
                <w:lang w:eastAsia="en-US" w:bidi="ar-SA"/>
              </w:rPr>
              <w:t>文件名称</w:t>
            </w:r>
          </w:p>
        </w:tc>
        <w:tc>
          <w:tcPr>
            <w:tcW w:w="302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黑体" w:hAnsi="黑体" w:eastAsia="黑体" w:cs="黑体"/>
                <w:b w:val="0"/>
                <w:bCs w:val="0"/>
                <w:snapToGrid w:val="0"/>
                <w:color w:val="000000"/>
                <w:spacing w:val="-6"/>
                <w:kern w:val="0"/>
                <w:sz w:val="28"/>
                <w:szCs w:val="28"/>
                <w:lang w:eastAsia="en-US" w:bidi="ar-SA"/>
              </w:rPr>
            </w:pPr>
            <w:r>
              <w:rPr>
                <w:rFonts w:hint="default" w:ascii="黑体" w:hAnsi="黑体" w:eastAsia="黑体" w:cs="黑体"/>
                <w:b w:val="0"/>
                <w:bCs w:val="0"/>
                <w:snapToGrid w:val="0"/>
                <w:color w:val="000000"/>
                <w:spacing w:val="-6"/>
                <w:kern w:val="0"/>
                <w:sz w:val="28"/>
                <w:szCs w:val="28"/>
                <w:lang w:eastAsia="en-US" w:bidi="ar-SA"/>
              </w:rPr>
              <w:t>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eastAsia="zh-CN" w:bidi="ar"/>
              </w:rPr>
            </w:pPr>
            <w:r>
              <w:rPr>
                <w:rFonts w:hint="default" w:ascii="Times New Roman" w:hAnsi="Times New Roman" w:eastAsia="仿宋_GB2312" w:cs="Times New Roman"/>
                <w:i w:val="0"/>
                <w:color w:val="000000"/>
                <w:kern w:val="0"/>
                <w:sz w:val="22"/>
                <w:szCs w:val="22"/>
                <w:u w:val="none"/>
                <w:lang w:val="en-US" w:eastAsia="zh-CN" w:bidi="ar"/>
              </w:rPr>
              <w:t>1</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关于规范开展非上市企业股权登记托管和股权质押融资工作的指导意见</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湘金监发〔2021〕21号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2</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关于印发《湖南省金融突发事件应急预案》的通知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eastAsia="zh-CN" w:bidi="ar"/>
              </w:rPr>
            </w:pPr>
            <w:r>
              <w:rPr>
                <w:rFonts w:hint="default" w:ascii="Times New Roman" w:hAnsi="Times New Roman" w:eastAsia="仿宋_GB2312" w:cs="Times New Roman"/>
                <w:i w:val="0"/>
                <w:color w:val="000000"/>
                <w:kern w:val="0"/>
                <w:sz w:val="22"/>
                <w:szCs w:val="22"/>
                <w:u w:val="none"/>
                <w:lang w:val="en-US" w:eastAsia="zh-CN" w:bidi="ar"/>
              </w:rPr>
              <w:t>3</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关于印发《湖南省“十四五”金融业发展规划》的通知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湘金监发〔2021〕66号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eastAsia="zh-CN" w:bidi="ar"/>
              </w:rPr>
            </w:pPr>
            <w:r>
              <w:rPr>
                <w:rFonts w:hint="default" w:ascii="Times New Roman" w:hAnsi="Times New Roman" w:eastAsia="仿宋_GB2312" w:cs="Times New Roman"/>
                <w:i w:val="0"/>
                <w:color w:val="000000"/>
                <w:kern w:val="0"/>
                <w:sz w:val="22"/>
                <w:szCs w:val="22"/>
                <w:u w:val="none"/>
                <w:lang w:val="en-US" w:eastAsia="zh-CN" w:bidi="ar"/>
              </w:rPr>
              <w:t>4</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关于印发《湖南省地方金融监督管理行政执法程序规定》的通知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湘金监发〔2021〕76号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5</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关于印发《湖南省非法集资举报奖励办法》的通知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湘金监发〔2021〕85号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6</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关于印发《湖南省政府性融资担保机构融资担保业务尽职免责工作指引》的通知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湘金监发〔2021〕93号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7</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关于进一步加强学生信用卡风险防范有关工作的通知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湘金监发〔2022〕45号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8</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关于印发《加快金融租赁行业发展服务“三个高地”建设实施方案》的通知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湘金监发〔2022〕59号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9</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关于印发《湖南省小额贷款公司监督管理实施细则》的通知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湘金监发〔2022〕70号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10</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关于印发《湖南省典当行监督管理实施细则》的通知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湘金监发〔2022〕71号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11</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关于印发《湖南省融资租赁公司监督管理实施细则》的通知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12</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关于印发《湖南省商业保理公司监督管理实施细则》的通知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黑体" w:cs="Times New Roman"/>
                <w:sz w:val="28"/>
                <w:szCs w:val="28"/>
                <w:vertAlign w:val="baseline"/>
              </w:rPr>
            </w:pPr>
            <w:r>
              <w:rPr>
                <w:rFonts w:hint="default" w:ascii="Times New Roman" w:hAnsi="Times New Roman" w:eastAsia="仿宋_GB2312" w:cs="Times New Roman"/>
                <w:i w:val="0"/>
                <w:color w:val="000000"/>
                <w:kern w:val="0"/>
                <w:sz w:val="22"/>
                <w:szCs w:val="22"/>
                <w:u w:val="none"/>
                <w:lang w:val="en-US" w:eastAsia="zh-CN" w:bidi="ar"/>
              </w:rPr>
              <w:t>湘金监发〔2022〕73号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13</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关于印发《湖南省区域性股权市场监督管理办法》的通知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湘金监发〔2022〕75号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14</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关于印发《湖南省环境权益抵质押融资试点工作方案》的通知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湘金监发〔2022〕77号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15</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关于印发《湖南省小额贷款公司分类监管评级办法》的通知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湘金监发〔2023〕11号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16</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关于印发《湖南省典当行分类监管评级办法》的通知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湘金监发〔2023〕40号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eastAsia="zh-CN" w:bidi="ar"/>
              </w:rPr>
            </w:pPr>
            <w:r>
              <w:rPr>
                <w:rFonts w:hint="default" w:ascii="Times New Roman" w:hAnsi="Times New Roman" w:eastAsia="仿宋_GB2312" w:cs="Times New Roman"/>
                <w:i w:val="0"/>
                <w:color w:val="000000"/>
                <w:kern w:val="0"/>
                <w:sz w:val="22"/>
                <w:szCs w:val="22"/>
                <w:u w:val="none"/>
                <w:lang w:val="en-US" w:eastAsia="zh-CN" w:bidi="ar"/>
              </w:rPr>
              <w:t>17</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关于优化湖南省区域性股权市场科技创新专板制度的通知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湘金监发〔2023〕44号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18</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关于划分明确《湖南省地方金融监督管理条例》规定的行政处罚事项行使层级和行使主体的通知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湘金监发〔2023〕46号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64"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19</w:t>
            </w:r>
          </w:p>
        </w:tc>
        <w:tc>
          <w:tcPr>
            <w:tcW w:w="5076" w:type="dxa"/>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关于印发《湖南省地方金融监督管理局政府信息公开实施办法（试行）》的通知</w:t>
            </w:r>
          </w:p>
        </w:tc>
        <w:tc>
          <w:tcPr>
            <w:tcW w:w="3021" w:type="dxa"/>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2"/>
                <w:szCs w:val="22"/>
                <w:u w:val="none"/>
                <w:lang w:val="en-US" w:eastAsia="zh-CN" w:bidi="ar"/>
              </w:rPr>
            </w:pPr>
            <w:r>
              <w:rPr>
                <w:rFonts w:hint="default" w:ascii="Times New Roman" w:hAnsi="Times New Roman" w:eastAsia="仿宋_GB2312" w:cs="Times New Roman"/>
                <w:i w:val="0"/>
                <w:color w:val="000000"/>
                <w:kern w:val="0"/>
                <w:sz w:val="22"/>
                <w:szCs w:val="22"/>
                <w:u w:val="none"/>
                <w:lang w:val="en-US" w:eastAsia="zh-CN" w:bidi="ar"/>
              </w:rPr>
              <w:t>湘金监发〔2023〕52号</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07E178"/>
    <w:rsid w:val="CF07E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2025-10-23T10:28:00Z</dcterms:created>
  <dc:creator>kylin</dc:creator>
  <cp:lastModifiedBy>kylin</cp:lastModifiedBy>
  <dcterms:modified xsi:type="dcterms:W3CDTF">2025-10-23T10:29:21Z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