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" w:eastAsia="zh-CN"/>
        </w:rPr>
        <w:t>湖南省地方金融机构数字化转型体制机制研究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课题竞争性磋商评分标准</w:t>
      </w:r>
    </w:p>
    <w:bookmarkEnd w:id="0"/>
    <w:tbl>
      <w:tblPr>
        <w:tblStyle w:val="2"/>
        <w:tblpPr w:leftFromText="180" w:rightFromText="180" w:vertAnchor="text" w:horzAnchor="page" w:tblpX="972" w:tblpY="248"/>
        <w:tblOverlap w:val="never"/>
        <w:tblW w:w="10243" w:type="dxa"/>
        <w:tblInd w:w="-2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275"/>
        <w:gridCol w:w="843"/>
        <w:gridCol w:w="72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Header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评审因素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计分因素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分值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3" w:firstLineChars="6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评分标准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exact"/>
          <w:tblHeader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投标人资质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课题负责人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专业实力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课题负责人近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5年承担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相关的课题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情况：国家级课题3分/个，省级课题2分/个，其他课题1分/个，无相关课题0分，该项总分不超过5分。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exact"/>
          <w:tblHeader/>
        </w:trPr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课题负责人在CSSCI学术期刊发表的相关学术论文篇数：5分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10篇以上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，0.5-4.5分（1-9篇，每篇0.5分），0分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，该项总分不超过5分。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exact"/>
          <w:tblHeader/>
        </w:trPr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调研团队专业实力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团队成员近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5年承担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相关的课题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情况：国家级课题3分/个，省级课题2分/个，其他课题1分/个，无相关课题0分，该项总分不超过5分。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exact"/>
          <w:tblHeader/>
        </w:trPr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团队成员在CSSCI学术期刊发表的相关学术论文篇数：5分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10篇以上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，0.5-4.5分（1-9篇，每篇0.5分），0分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，该项总分不超过5分。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exact"/>
          <w:tblHeader/>
        </w:trPr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人员组成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团队成员学历达到全日制硕士研究生及以上的比例：：5分（80%（含）以上），4分（60%（含）以上），3分（40%（含）以上），2分（40%（不含）以下）。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tblHeader/>
        </w:trPr>
        <w:tc>
          <w:tcPr>
            <w:tcW w:w="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团队成员平均工作年限：5分（10年以上），4分（8-9年），3分（6-7年），2分（4-5年），1分（3年以下）。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tblHeader/>
        </w:trPr>
        <w:tc>
          <w:tcPr>
            <w:tcW w:w="8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构想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调研大纲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调研大纲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框架完整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重点突出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情况：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17－20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（优）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14－16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（良）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12－15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0－11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（差）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tblHeader/>
        </w:trPr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调研方法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思路清晰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方法创新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、计划详细且可执行情况：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17－20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（优）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14－16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（良）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12－15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0－11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（差）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tblHeader/>
        </w:trPr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现场答辩情况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讲解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流畅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度及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答辩准确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性：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17－20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（优）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14－16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（良）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12－15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0－11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（差）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tblHeader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投标报价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满足招标文件要求的最低的投标报价为评标基准价，计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0分；其他投标人得分=（评标基准价/投标报价）×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tblHeader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100分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ED7EB"/>
    <w:rsid w:val="5F774F25"/>
    <w:rsid w:val="75B31EE8"/>
    <w:rsid w:val="7FF740F5"/>
    <w:rsid w:val="B8F974E2"/>
    <w:rsid w:val="DACFFAFA"/>
    <w:rsid w:val="EEBED7EB"/>
    <w:rsid w:val="FFBEA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2025-03-26T19:40:00Z</dcterms:created>
  <dc:creator>kylin</dc:creator>
  <cp:lastModifiedBy>kylin</cp:lastModifiedBy>
  <dcterms:modified xsi:type="dcterms:W3CDTF">2025-03-28T09:39:07Z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